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CD9" w:rsidRPr="00733CD9" w:rsidRDefault="00FA5346" w:rsidP="00733CD9">
      <w:pPr>
        <w:spacing w:line="360" w:lineRule="auto"/>
        <w:jc w:val="center"/>
        <w:rPr>
          <w:rFonts w:ascii="Times New Roman" w:hAnsi="Times New Roman" w:cs="Times New Roman"/>
          <w:b/>
          <w:sz w:val="28"/>
          <w:szCs w:val="28"/>
          <w:lang w:val="en-US"/>
        </w:rPr>
      </w:pPr>
      <w:r w:rsidRPr="00733CD9">
        <w:rPr>
          <w:rFonts w:ascii="Times New Roman" w:hAnsi="Times New Roman" w:cs="Times New Roman"/>
          <w:b/>
          <w:sz w:val="28"/>
          <w:szCs w:val="28"/>
          <w:lang w:val="en-US"/>
        </w:rPr>
        <w:t>Inorganic arsenic species caused inhibition of antioxidant enzymes in multiple organs of Nile Tilapia (</w:t>
      </w:r>
      <w:r w:rsidRPr="00733CD9">
        <w:rPr>
          <w:rFonts w:ascii="Times New Roman" w:hAnsi="Times New Roman" w:cs="Times New Roman"/>
          <w:b/>
          <w:i/>
          <w:sz w:val="28"/>
          <w:szCs w:val="28"/>
          <w:lang w:val="en-US"/>
        </w:rPr>
        <w:t>Oreochromis niloticus</w:t>
      </w:r>
      <w:r w:rsidRPr="00733CD9">
        <w:rPr>
          <w:rFonts w:ascii="Times New Roman" w:hAnsi="Times New Roman" w:cs="Times New Roman"/>
          <w:b/>
          <w:sz w:val="28"/>
          <w:szCs w:val="28"/>
          <w:lang w:val="en-US"/>
        </w:rPr>
        <w:t>)</w:t>
      </w:r>
    </w:p>
    <w:p w:rsidR="00870223" w:rsidRPr="00B72C3D" w:rsidRDefault="00870223" w:rsidP="00870223">
      <w:pPr>
        <w:jc w:val="center"/>
        <w:rPr>
          <w:rFonts w:ascii="Times New Roman" w:hAnsi="Times New Roman" w:cs="Times New Roman"/>
          <w:sz w:val="24"/>
          <w:lang w:val="en-US"/>
        </w:rPr>
      </w:pPr>
    </w:p>
    <w:p w:rsidR="00870223" w:rsidRPr="00B72C3D" w:rsidRDefault="00870223" w:rsidP="00870223">
      <w:pPr>
        <w:jc w:val="center"/>
        <w:rPr>
          <w:rFonts w:ascii="Times New Roman" w:hAnsi="Times New Roman" w:cs="Times New Roman"/>
          <w:sz w:val="24"/>
          <w:lang w:val="en-US"/>
        </w:rPr>
      </w:pPr>
    </w:p>
    <w:p w:rsidR="00870223" w:rsidRPr="002133CE" w:rsidRDefault="00FA5346" w:rsidP="00733CD9">
      <w:pPr>
        <w:spacing w:line="480" w:lineRule="auto"/>
        <w:jc w:val="center"/>
        <w:rPr>
          <w:rFonts w:ascii="Times New Roman" w:hAnsi="Times New Roman" w:cs="Times New Roman"/>
          <w:b/>
          <w:sz w:val="24"/>
        </w:rPr>
      </w:pPr>
      <w:r w:rsidRPr="002133CE">
        <w:rPr>
          <w:rFonts w:ascii="Times New Roman" w:hAnsi="Times New Roman" w:cs="Times New Roman"/>
          <w:b/>
          <w:sz w:val="24"/>
        </w:rPr>
        <w:t>N</w:t>
      </w:r>
      <w:r w:rsidR="00630552" w:rsidRPr="002133CE">
        <w:rPr>
          <w:rFonts w:ascii="Times New Roman" w:hAnsi="Times New Roman" w:cs="Times New Roman"/>
          <w:b/>
          <w:sz w:val="24"/>
        </w:rPr>
        <w:t xml:space="preserve">athalia dos Santos </w:t>
      </w:r>
      <w:r w:rsidRPr="002133CE">
        <w:rPr>
          <w:rFonts w:ascii="Times New Roman" w:hAnsi="Times New Roman" w:cs="Times New Roman"/>
          <w:b/>
          <w:sz w:val="24"/>
        </w:rPr>
        <w:t>Ferreira</w:t>
      </w:r>
      <w:r w:rsidRPr="002133CE">
        <w:rPr>
          <w:rFonts w:ascii="Times New Roman" w:hAnsi="Times New Roman" w:cs="Times New Roman"/>
          <w:b/>
          <w:sz w:val="24"/>
          <w:vertAlign w:val="superscript"/>
        </w:rPr>
        <w:t>a</w:t>
      </w:r>
      <w:r w:rsidRPr="002133CE">
        <w:rPr>
          <w:rFonts w:ascii="Times New Roman" w:hAnsi="Times New Roman" w:cs="Times New Roman"/>
          <w:b/>
          <w:sz w:val="24"/>
        </w:rPr>
        <w:t>,</w:t>
      </w:r>
      <w:bookmarkStart w:id="0" w:name="bau3"/>
      <w:r w:rsidR="006A3A99" w:rsidRPr="002133CE">
        <w:rPr>
          <w:rFonts w:ascii="Times New Roman" w:hAnsi="Times New Roman" w:cs="Times New Roman"/>
          <w:b/>
          <w:sz w:val="24"/>
          <w:vertAlign w:val="superscript"/>
        </w:rPr>
        <w:t xml:space="preserve"> </w:t>
      </w:r>
      <w:r w:rsidR="00733CD9" w:rsidRPr="002133CE">
        <w:rPr>
          <w:rFonts w:ascii="Times New Roman" w:hAnsi="Times New Roman" w:cs="Times New Roman"/>
          <w:b/>
          <w:sz w:val="24"/>
        </w:rPr>
        <w:t>Danilo Grünig Humberto da Silva</w:t>
      </w:r>
      <w:r w:rsidR="00733CD9">
        <w:rPr>
          <w:rFonts w:ascii="Times New Roman" w:hAnsi="Times New Roman" w:cs="Times New Roman"/>
          <w:b/>
          <w:sz w:val="24"/>
          <w:vertAlign w:val="superscript"/>
        </w:rPr>
        <w:t>b</w:t>
      </w:r>
      <w:r w:rsidR="00733CD9">
        <w:rPr>
          <w:rFonts w:ascii="Times New Roman" w:hAnsi="Times New Roman" w:cs="Times New Roman"/>
          <w:b/>
          <w:sz w:val="24"/>
        </w:rPr>
        <w:t xml:space="preserve">, </w:t>
      </w:r>
      <w:r w:rsidR="00043E86" w:rsidRPr="002133CE">
        <w:rPr>
          <w:rFonts w:ascii="Times New Roman" w:hAnsi="Times New Roman" w:cs="Times New Roman"/>
          <w:b/>
          <w:sz w:val="24"/>
        </w:rPr>
        <w:t xml:space="preserve">Victoria Simões </w:t>
      </w:r>
      <w:r w:rsidR="009213DC" w:rsidRPr="002133CE">
        <w:rPr>
          <w:rFonts w:ascii="Times New Roman" w:hAnsi="Times New Roman" w:cs="Times New Roman"/>
          <w:b/>
          <w:sz w:val="24"/>
        </w:rPr>
        <w:t>Bernardo</w:t>
      </w:r>
      <w:r w:rsidR="00733CD9">
        <w:rPr>
          <w:rFonts w:ascii="Times New Roman" w:hAnsi="Times New Roman" w:cs="Times New Roman"/>
          <w:b/>
          <w:sz w:val="24"/>
          <w:vertAlign w:val="superscript"/>
        </w:rPr>
        <w:t>c</w:t>
      </w:r>
      <w:r w:rsidR="009213DC" w:rsidRPr="002133CE">
        <w:rPr>
          <w:rFonts w:ascii="Times New Roman" w:hAnsi="Times New Roman" w:cs="Times New Roman"/>
          <w:b/>
          <w:sz w:val="24"/>
        </w:rPr>
        <w:t>, Flaviene</w:t>
      </w:r>
      <w:r w:rsidR="006A3A99" w:rsidRPr="002133CE">
        <w:rPr>
          <w:rFonts w:ascii="Times New Roman" w:hAnsi="Times New Roman" w:cs="Times New Roman"/>
          <w:b/>
          <w:sz w:val="24"/>
        </w:rPr>
        <w:t xml:space="preserve"> Felix Torres</w:t>
      </w:r>
      <w:bookmarkEnd w:id="0"/>
      <w:r w:rsidR="00733CD9">
        <w:rPr>
          <w:rFonts w:ascii="Times New Roman" w:hAnsi="Times New Roman" w:cs="Times New Roman"/>
          <w:b/>
          <w:sz w:val="24"/>
          <w:vertAlign w:val="superscript"/>
        </w:rPr>
        <w:t>c</w:t>
      </w:r>
      <w:r w:rsidRPr="002133CE">
        <w:rPr>
          <w:rFonts w:ascii="Times New Roman" w:hAnsi="Times New Roman" w:cs="Times New Roman"/>
          <w:b/>
          <w:sz w:val="24"/>
        </w:rPr>
        <w:t xml:space="preserve">, </w:t>
      </w:r>
      <w:r w:rsidR="009213DC" w:rsidRPr="002133CE">
        <w:rPr>
          <w:rFonts w:ascii="Times New Roman" w:hAnsi="Times New Roman" w:cs="Times New Roman"/>
          <w:b/>
          <w:sz w:val="24"/>
        </w:rPr>
        <w:t xml:space="preserve">Ana Rita </w:t>
      </w:r>
      <w:r w:rsidR="0032729D" w:rsidRPr="002133CE">
        <w:rPr>
          <w:rFonts w:ascii="Times New Roman" w:hAnsi="Times New Roman" w:cs="Times New Roman"/>
          <w:b/>
          <w:sz w:val="24"/>
        </w:rPr>
        <w:t>Araujo</w:t>
      </w:r>
      <w:r w:rsidR="009213DC" w:rsidRPr="002133CE">
        <w:rPr>
          <w:rFonts w:ascii="Times New Roman" w:hAnsi="Times New Roman" w:cs="Times New Roman"/>
          <w:b/>
          <w:sz w:val="24"/>
        </w:rPr>
        <w:t xml:space="preserve"> Nogueira</w:t>
      </w:r>
      <w:r w:rsidR="009213DC" w:rsidRPr="002133CE">
        <w:rPr>
          <w:rFonts w:ascii="Times New Roman" w:hAnsi="Times New Roman" w:cs="Times New Roman"/>
          <w:b/>
          <w:sz w:val="24"/>
          <w:vertAlign w:val="superscript"/>
        </w:rPr>
        <w:t>d</w:t>
      </w:r>
      <w:r w:rsidR="009213DC" w:rsidRPr="002133CE">
        <w:rPr>
          <w:rFonts w:ascii="Times New Roman" w:hAnsi="Times New Roman" w:cs="Times New Roman"/>
          <w:b/>
          <w:sz w:val="24"/>
        </w:rPr>
        <w:t xml:space="preserve">, </w:t>
      </w:r>
      <w:r w:rsidR="00020178" w:rsidRPr="002133CE">
        <w:rPr>
          <w:rFonts w:ascii="Times New Roman" w:hAnsi="Times New Roman" w:cs="Times New Roman"/>
          <w:b/>
          <w:sz w:val="24"/>
        </w:rPr>
        <w:t>Jozi Godoy Figueiredo</w:t>
      </w:r>
      <w:r w:rsidR="00020178" w:rsidRPr="002133CE">
        <w:rPr>
          <w:rFonts w:ascii="Times New Roman" w:hAnsi="Times New Roman" w:cs="Times New Roman"/>
          <w:b/>
          <w:sz w:val="24"/>
          <w:vertAlign w:val="superscript"/>
        </w:rPr>
        <w:t>e</w:t>
      </w:r>
      <w:r w:rsidR="00020178" w:rsidRPr="002133CE">
        <w:rPr>
          <w:rFonts w:ascii="Times New Roman" w:hAnsi="Times New Roman" w:cs="Times New Roman"/>
          <w:b/>
          <w:sz w:val="24"/>
        </w:rPr>
        <w:t xml:space="preserve">, </w:t>
      </w:r>
      <w:r w:rsidRPr="002133CE">
        <w:rPr>
          <w:rFonts w:ascii="Times New Roman" w:hAnsi="Times New Roman" w:cs="Times New Roman"/>
          <w:b/>
          <w:sz w:val="24"/>
        </w:rPr>
        <w:t>Mario</w:t>
      </w:r>
      <w:r w:rsidR="00630552" w:rsidRPr="002133CE">
        <w:rPr>
          <w:rFonts w:ascii="Times New Roman" w:hAnsi="Times New Roman" w:cs="Times New Roman"/>
          <w:b/>
          <w:sz w:val="24"/>
        </w:rPr>
        <w:t xml:space="preserve"> Henrique</w:t>
      </w:r>
      <w:r w:rsidRPr="002133CE">
        <w:rPr>
          <w:rFonts w:ascii="Times New Roman" w:hAnsi="Times New Roman" w:cs="Times New Roman"/>
          <w:b/>
          <w:sz w:val="24"/>
        </w:rPr>
        <w:t xml:space="preserve"> Gonzalez</w:t>
      </w:r>
      <w:r w:rsidRPr="002133CE">
        <w:rPr>
          <w:rFonts w:ascii="Times New Roman" w:hAnsi="Times New Roman" w:cs="Times New Roman"/>
          <w:b/>
          <w:sz w:val="24"/>
          <w:vertAlign w:val="superscript"/>
        </w:rPr>
        <w:t>a*</w:t>
      </w:r>
    </w:p>
    <w:p w:rsidR="00870223" w:rsidRPr="002133CE" w:rsidRDefault="00870223" w:rsidP="00870223">
      <w:pPr>
        <w:jc w:val="center"/>
        <w:rPr>
          <w:rFonts w:ascii="Times New Roman" w:hAnsi="Times New Roman" w:cs="Times New Roman"/>
          <w:b/>
          <w:sz w:val="24"/>
          <w:vertAlign w:val="superscript"/>
        </w:rPr>
      </w:pPr>
    </w:p>
    <w:p w:rsidR="006A3A99" w:rsidRPr="002133CE" w:rsidRDefault="006A3A99" w:rsidP="00870223">
      <w:pPr>
        <w:jc w:val="center"/>
        <w:rPr>
          <w:rFonts w:ascii="Times New Roman" w:hAnsi="Times New Roman" w:cs="Times New Roman"/>
          <w:b/>
          <w:sz w:val="24"/>
          <w:vertAlign w:val="superscript"/>
        </w:rPr>
      </w:pPr>
    </w:p>
    <w:p w:rsidR="006A3A99" w:rsidRPr="002133CE" w:rsidRDefault="006A3A99" w:rsidP="00870223">
      <w:pPr>
        <w:jc w:val="center"/>
        <w:rPr>
          <w:rFonts w:ascii="Times New Roman" w:hAnsi="Times New Roman" w:cs="Times New Roman"/>
          <w:b/>
          <w:sz w:val="24"/>
          <w:vertAlign w:val="superscript"/>
        </w:rPr>
      </w:pPr>
    </w:p>
    <w:p w:rsidR="00733CD9" w:rsidRPr="00733CD9" w:rsidRDefault="00FA5346" w:rsidP="00733CD9">
      <w:pPr>
        <w:spacing w:line="480" w:lineRule="auto"/>
        <w:jc w:val="both"/>
        <w:rPr>
          <w:rFonts w:ascii="Times New Roman" w:hAnsi="Times New Roman" w:cs="Times New Roman"/>
          <w:sz w:val="24"/>
          <w:szCs w:val="24"/>
          <w:lang w:val="en-US"/>
        </w:rPr>
      </w:pPr>
      <w:r w:rsidRPr="00B72C3D">
        <w:rPr>
          <w:rFonts w:ascii="Times New Roman" w:hAnsi="Times New Roman" w:cs="Times New Roman"/>
          <w:sz w:val="24"/>
          <w:vertAlign w:val="superscript"/>
          <w:lang w:val="en-US"/>
        </w:rPr>
        <w:t xml:space="preserve">a </w:t>
      </w:r>
      <w:r w:rsidRPr="00733CD9">
        <w:rPr>
          <w:rFonts w:ascii="Times New Roman" w:hAnsi="Times New Roman" w:cs="Times New Roman"/>
          <w:sz w:val="24"/>
          <w:szCs w:val="24"/>
          <w:lang w:val="en-US"/>
        </w:rPr>
        <w:t>São Paulo State University (UNESP), National Institute for Alternative Technologies of Detection, Toxicological Evaluation and Removal of Micropollutants and Radioactives (INCT-DATREM), Department of Chemistr</w:t>
      </w:r>
      <w:r>
        <w:rPr>
          <w:rFonts w:ascii="Times New Roman" w:hAnsi="Times New Roman" w:cs="Times New Roman"/>
          <w:sz w:val="24"/>
          <w:szCs w:val="24"/>
          <w:lang w:val="en-US"/>
        </w:rPr>
        <w:t>y and Environmental Science, 15</w:t>
      </w:r>
      <w:r w:rsidRPr="00733CD9">
        <w:rPr>
          <w:rFonts w:ascii="Times New Roman" w:hAnsi="Times New Roman" w:cs="Times New Roman"/>
          <w:sz w:val="24"/>
          <w:szCs w:val="24"/>
          <w:lang w:val="en-US"/>
        </w:rPr>
        <w:t>054-000, São José do Rio Preto, SP, Brazil</w:t>
      </w:r>
    </w:p>
    <w:p w:rsidR="00733CD9" w:rsidRPr="00733CD9" w:rsidRDefault="00FA5346" w:rsidP="00733CD9">
      <w:pPr>
        <w:spacing w:line="480" w:lineRule="auto"/>
        <w:jc w:val="both"/>
        <w:rPr>
          <w:rFonts w:ascii="Times New Roman" w:hAnsi="Times New Roman" w:cs="Times New Roman"/>
          <w:sz w:val="24"/>
          <w:szCs w:val="24"/>
        </w:rPr>
      </w:pPr>
      <w:r>
        <w:rPr>
          <w:rFonts w:ascii="Times New Roman" w:hAnsi="Times New Roman" w:cs="Times New Roman"/>
          <w:sz w:val="24"/>
          <w:szCs w:val="24"/>
          <w:vertAlign w:val="superscript"/>
        </w:rPr>
        <w:t>b</w:t>
      </w:r>
      <w:r w:rsidRPr="002133CE">
        <w:rPr>
          <w:rFonts w:ascii="Times New Roman" w:hAnsi="Times New Roman" w:cs="Times New Roman"/>
          <w:sz w:val="24"/>
          <w:szCs w:val="24"/>
          <w:vertAlign w:val="superscript"/>
        </w:rPr>
        <w:t xml:space="preserve"> </w:t>
      </w:r>
      <w:r>
        <w:rPr>
          <w:rFonts w:ascii="Times New Roman" w:hAnsi="Times New Roman" w:cs="Times New Roman"/>
          <w:sz w:val="24"/>
          <w:szCs w:val="24"/>
        </w:rPr>
        <w:t>Federal University of Mato Grosso do Sul (CPTL</w:t>
      </w:r>
      <w:r w:rsidRPr="002133CE">
        <w:rPr>
          <w:rFonts w:ascii="Times New Roman" w:hAnsi="Times New Roman" w:cs="Times New Roman"/>
          <w:sz w:val="24"/>
          <w:szCs w:val="24"/>
          <w:shd w:val="clear" w:color="auto" w:fill="FFFFFF"/>
        </w:rPr>
        <w:t>/UFMS),</w:t>
      </w:r>
      <w:r>
        <w:rPr>
          <w:rFonts w:ascii="Times New Roman" w:hAnsi="Times New Roman" w:cs="Times New Roman"/>
          <w:sz w:val="24"/>
          <w:szCs w:val="24"/>
          <w:shd w:val="clear" w:color="auto" w:fill="FFFFFF"/>
        </w:rPr>
        <w:t xml:space="preserve"> </w:t>
      </w:r>
      <w:r w:rsidR="0088236D">
        <w:rPr>
          <w:rFonts w:ascii="Times New Roman" w:hAnsi="Times New Roman" w:cs="Times New Roman"/>
          <w:sz w:val="24"/>
          <w:szCs w:val="24"/>
          <w:shd w:val="clear" w:color="auto" w:fill="FFFFFF"/>
        </w:rPr>
        <w:t>Department of B</w:t>
      </w:r>
      <w:r w:rsidR="0088236D" w:rsidRPr="0088236D">
        <w:rPr>
          <w:rFonts w:ascii="Times New Roman" w:hAnsi="Times New Roman" w:cs="Times New Roman"/>
          <w:sz w:val="24"/>
          <w:szCs w:val="24"/>
          <w:shd w:val="clear" w:color="auto" w:fill="FFFFFF"/>
        </w:rPr>
        <w:t>iological Sciences</w:t>
      </w:r>
      <w:r w:rsidR="0088236D">
        <w:rPr>
          <w:rFonts w:ascii="Times New Roman" w:hAnsi="Times New Roman" w:cs="Times New Roman"/>
          <w:sz w:val="24"/>
          <w:szCs w:val="24"/>
          <w:shd w:val="clear" w:color="auto" w:fill="FFFFFF"/>
        </w:rPr>
        <w:t xml:space="preserve">, </w:t>
      </w:r>
      <w:r w:rsidR="0088236D" w:rsidRPr="0088236D">
        <w:rPr>
          <w:rFonts w:ascii="Times New Roman" w:hAnsi="Times New Roman" w:cs="Times New Roman"/>
          <w:sz w:val="24"/>
          <w:szCs w:val="24"/>
        </w:rPr>
        <w:t>79600-080</w:t>
      </w:r>
      <w:r w:rsidR="0088236D">
        <w:rPr>
          <w:rFonts w:ascii="Times New Roman" w:hAnsi="Times New Roman" w:cs="Times New Roman"/>
          <w:sz w:val="24"/>
          <w:szCs w:val="24"/>
        </w:rPr>
        <w:t>, Três Lagoas, MS, Brazil</w:t>
      </w:r>
    </w:p>
    <w:p w:rsidR="00630552" w:rsidRPr="002133CE" w:rsidRDefault="00FA5346" w:rsidP="000D5179">
      <w:pPr>
        <w:spacing w:line="480" w:lineRule="auto"/>
        <w:jc w:val="both"/>
        <w:rPr>
          <w:rFonts w:ascii="Times New Roman" w:hAnsi="Times New Roman" w:cs="Times New Roman"/>
          <w:sz w:val="24"/>
        </w:rPr>
      </w:pPr>
      <w:r w:rsidRPr="0088236D">
        <w:rPr>
          <w:rFonts w:ascii="Times New Roman" w:hAnsi="Times New Roman" w:cs="Times New Roman"/>
          <w:sz w:val="24"/>
          <w:szCs w:val="24"/>
          <w:vertAlign w:val="superscript"/>
          <w:lang w:val="en-US"/>
        </w:rPr>
        <w:t>c</w:t>
      </w:r>
      <w:r w:rsidR="006769B2" w:rsidRPr="00733CD9">
        <w:rPr>
          <w:rFonts w:ascii="Times New Roman" w:hAnsi="Times New Roman" w:cs="Times New Roman"/>
          <w:sz w:val="24"/>
          <w:szCs w:val="24"/>
          <w:lang w:val="en-US"/>
        </w:rPr>
        <w:t xml:space="preserve"> São Paulo State University (UNESP), Department of Biological</w:t>
      </w:r>
      <w:r w:rsidR="006769B2" w:rsidRPr="002133CE">
        <w:rPr>
          <w:rFonts w:ascii="Times New Roman" w:hAnsi="Times New Roman" w:cs="Times New Roman"/>
          <w:sz w:val="24"/>
        </w:rPr>
        <w:t xml:space="preserve"> Sciences</w:t>
      </w:r>
      <w:r w:rsidR="009213DC" w:rsidRPr="002133CE">
        <w:rPr>
          <w:rFonts w:ascii="Times New Roman" w:hAnsi="Times New Roman" w:cs="Times New Roman"/>
          <w:sz w:val="24"/>
        </w:rPr>
        <w:t xml:space="preserve">, </w:t>
      </w:r>
      <w:r w:rsidR="006769B2" w:rsidRPr="002133CE">
        <w:rPr>
          <w:rFonts w:ascii="Times New Roman" w:hAnsi="Times New Roman" w:cs="Times New Roman"/>
          <w:sz w:val="24"/>
        </w:rPr>
        <w:t>15054-000, São José do Rio Preto, SP, Brazil</w:t>
      </w:r>
    </w:p>
    <w:p w:rsidR="009213DC" w:rsidRPr="002133CE" w:rsidRDefault="00FA5346" w:rsidP="009213DC">
      <w:pPr>
        <w:spacing w:line="480" w:lineRule="auto"/>
        <w:jc w:val="both"/>
        <w:rPr>
          <w:rFonts w:ascii="Times New Roman" w:hAnsi="Times New Roman" w:cs="Times New Roman"/>
          <w:sz w:val="24"/>
        </w:rPr>
      </w:pPr>
      <w:r w:rsidRPr="002133CE">
        <w:rPr>
          <w:rFonts w:ascii="Times New Roman" w:hAnsi="Times New Roman" w:cs="Times New Roman"/>
          <w:sz w:val="24"/>
          <w:vertAlign w:val="superscript"/>
        </w:rPr>
        <w:t xml:space="preserve">d </w:t>
      </w:r>
      <w:r w:rsidR="008627B2">
        <w:rPr>
          <w:rFonts w:ascii="Times New Roman" w:hAnsi="Times New Roman" w:cs="Times New Roman"/>
          <w:sz w:val="24"/>
        </w:rPr>
        <w:t>Embrapa Pecuária Sudeste (EMBRAPA),</w:t>
      </w:r>
      <w:r w:rsidRPr="002133CE">
        <w:rPr>
          <w:rFonts w:ascii="Times New Roman" w:hAnsi="Times New Roman" w:cs="Times New Roman"/>
          <w:sz w:val="24"/>
        </w:rPr>
        <w:t xml:space="preserve"> 13560-970, São Carlos, SP, Brazil</w:t>
      </w:r>
    </w:p>
    <w:p w:rsidR="00855E1E" w:rsidRPr="008627B2" w:rsidRDefault="00FA5346" w:rsidP="00855E1E">
      <w:pPr>
        <w:spacing w:line="480" w:lineRule="auto"/>
        <w:jc w:val="both"/>
        <w:rPr>
          <w:rFonts w:ascii="Times New Roman" w:hAnsi="Times New Roman" w:cs="Times New Roman"/>
          <w:sz w:val="24"/>
          <w:vertAlign w:val="superscript"/>
        </w:rPr>
      </w:pPr>
      <w:r w:rsidRPr="002133CE">
        <w:rPr>
          <w:rFonts w:ascii="Times New Roman" w:hAnsi="Times New Roman" w:cs="Times New Roman"/>
          <w:sz w:val="24"/>
          <w:vertAlign w:val="superscript"/>
        </w:rPr>
        <w:t xml:space="preserve">e </w:t>
      </w:r>
      <w:r w:rsidR="008627B2">
        <w:rPr>
          <w:rFonts w:ascii="Times New Roman" w:hAnsi="Times New Roman" w:cs="Times New Roman"/>
          <w:sz w:val="24"/>
        </w:rPr>
        <w:t>FASIPE College (FASIPE),</w:t>
      </w:r>
      <w:r w:rsidR="008627B2">
        <w:rPr>
          <w:rFonts w:ascii="Times New Roman" w:hAnsi="Times New Roman" w:cs="Times New Roman"/>
          <w:sz w:val="24"/>
          <w:vertAlign w:val="superscript"/>
        </w:rPr>
        <w:t xml:space="preserve"> </w:t>
      </w:r>
      <w:r w:rsidRPr="002133CE">
        <w:rPr>
          <w:rFonts w:ascii="Times New Roman" w:hAnsi="Times New Roman" w:cs="Times New Roman"/>
          <w:sz w:val="24"/>
        </w:rPr>
        <w:t>78736-186, Rondonópolis</w:t>
      </w:r>
      <w:r w:rsidR="008627B2">
        <w:rPr>
          <w:rFonts w:ascii="Times New Roman" w:hAnsi="Times New Roman" w:cs="Times New Roman"/>
          <w:sz w:val="24"/>
        </w:rPr>
        <w:t>, MT</w:t>
      </w:r>
      <w:r w:rsidRPr="002133CE">
        <w:rPr>
          <w:rFonts w:ascii="Times New Roman" w:hAnsi="Times New Roman" w:cs="Times New Roman"/>
          <w:sz w:val="24"/>
        </w:rPr>
        <w:t>, Brazil</w:t>
      </w:r>
    </w:p>
    <w:p w:rsidR="00020178" w:rsidRPr="002133CE" w:rsidRDefault="00020178" w:rsidP="009213DC">
      <w:pPr>
        <w:spacing w:line="480" w:lineRule="auto"/>
        <w:jc w:val="both"/>
        <w:rPr>
          <w:rFonts w:ascii="Arial" w:hAnsi="Arial" w:cs="Arial"/>
          <w:sz w:val="24"/>
          <w:szCs w:val="24"/>
          <w:vertAlign w:val="superscript"/>
        </w:rPr>
      </w:pPr>
    </w:p>
    <w:p w:rsidR="00870223" w:rsidRPr="00B72C3D" w:rsidRDefault="00FA5346"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rsidR="00870223" w:rsidRPr="00B72C3D" w:rsidRDefault="00FA5346"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rsidR="00C26266" w:rsidRPr="0032729D" w:rsidRDefault="00FA5346"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rsidR="0079154C" w:rsidRPr="00B72C3D" w:rsidRDefault="0079154C" w:rsidP="00334092">
      <w:pPr>
        <w:spacing w:line="360" w:lineRule="auto"/>
        <w:jc w:val="both"/>
        <w:rPr>
          <w:rFonts w:ascii="Times New Roman" w:hAnsi="Times New Roman" w:cs="Times New Roman"/>
          <w:sz w:val="24"/>
          <w:lang w:val="en-US"/>
        </w:rPr>
      </w:pPr>
    </w:p>
    <w:p w:rsidR="005F725B" w:rsidRPr="008973A6" w:rsidRDefault="00FA5346"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The mechanisms of inorganic arsenic toxicity and metabolic processes in fish a</w:t>
      </w:r>
      <w:r w:rsidR="00362E5B">
        <w:rPr>
          <w:rFonts w:ascii="Times New Roman" w:hAnsi="Times New Roman" w:cs="Times New Roman"/>
          <w:sz w:val="24"/>
          <w:lang w:val="en-US"/>
        </w:rPr>
        <w:t xml:space="preserve">re not fully understood. Owing </w:t>
      </w:r>
      <w:r w:rsidRPr="00B72C3D">
        <w:rPr>
          <w:rFonts w:ascii="Times New Roman" w:hAnsi="Times New Roman" w:cs="Times New Roman"/>
          <w:sz w:val="24"/>
          <w:lang w:val="en-US"/>
        </w:rPr>
        <w:t>to toxicity, inorganic contaminants such as arsenic (As)</w:t>
      </w:r>
      <w:r w:rsidR="00146F8A" w:rsidRPr="00B72C3D">
        <w:rPr>
          <w:rFonts w:ascii="Times New Roman" w:hAnsi="Times New Roman" w:cs="Times New Roman"/>
          <w:sz w:val="24"/>
          <w:lang w:val="en-US"/>
        </w:rPr>
        <w:t xml:space="preserve"> </w:t>
      </w:r>
      <w:r w:rsidR="00A6524C">
        <w:rPr>
          <w:rFonts w:ascii="Times New Roman" w:hAnsi="Times New Roman" w:cs="Times New Roman"/>
          <w:sz w:val="24"/>
          <w:lang w:val="en-US"/>
        </w:rPr>
        <w:t>can generate</w:t>
      </w:r>
      <w:r w:rsidR="00146F8A" w:rsidRPr="00B72C3D">
        <w:rPr>
          <w:rFonts w:ascii="Times New Roman" w:hAnsi="Times New Roman" w:cs="Times New Roman"/>
          <w:sz w:val="24"/>
          <w:lang w:val="en-US"/>
        </w:rPr>
        <w:t xml:space="preserve"> reactive oxygen species (ROS), </w:t>
      </w:r>
      <w:r w:rsidRPr="00B72C3D">
        <w:rPr>
          <w:rFonts w:ascii="Times New Roman" w:hAnsi="Times New Roman" w:cs="Times New Roman"/>
          <w:sz w:val="24"/>
          <w:lang w:val="en-US"/>
        </w:rPr>
        <w:t xml:space="preserve">thus inducing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present study aimed </w:t>
      </w:r>
      <w:r w:rsidR="007B6716" w:rsidRPr="00B72C3D">
        <w:rPr>
          <w:rFonts w:ascii="Times New Roman" w:hAnsi="Times New Roman" w:cs="Times New Roman"/>
          <w:sz w:val="24"/>
          <w:lang w:val="en-US"/>
        </w:rPr>
        <w:t xml:space="preserve">to evaluate the </w:t>
      </w:r>
      <w:r w:rsidRPr="00B72C3D">
        <w:rPr>
          <w:rFonts w:ascii="Times New Roman" w:hAnsi="Times New Roman" w:cs="Times New Roman"/>
          <w:sz w:val="24"/>
          <w:lang w:val="en-US"/>
        </w:rPr>
        <w:t xml:space="preserve">biochemical responses of </w:t>
      </w:r>
      <w:r w:rsidR="00A6524C">
        <w:rPr>
          <w:rFonts w:ascii="Times New Roman" w:hAnsi="Times New Roman" w:cs="Times New Roman"/>
          <w:sz w:val="24"/>
          <w:lang w:val="en-US"/>
        </w:rPr>
        <w:t xml:space="preserve">redox metabolism markers in </w:t>
      </w:r>
      <w:r w:rsidRPr="00B72C3D">
        <w:rPr>
          <w:rFonts w:ascii="Times New Roman" w:hAnsi="Times New Roman" w:cs="Times New Roman"/>
          <w:sz w:val="24"/>
          <w:lang w:val="en-US"/>
        </w:rPr>
        <w:t>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xml:space="preserve">) after </w:t>
      </w:r>
      <w:r w:rsidR="00A6524C">
        <w:rPr>
          <w:rFonts w:ascii="Times New Roman" w:hAnsi="Times New Roman" w:cs="Times New Roman"/>
          <w:sz w:val="24"/>
          <w:lang w:val="en-US"/>
        </w:rPr>
        <w:t xml:space="preserve">a </w:t>
      </w:r>
      <w:r w:rsidR="00A6524C" w:rsidRPr="00A6524C">
        <w:rPr>
          <w:rFonts w:ascii="Times New Roman" w:hAnsi="Times New Roman" w:cs="Times New Roman"/>
          <w:sz w:val="24"/>
          <w:lang w:val="en-US"/>
        </w:rPr>
        <w:t>controlled toxicity</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assay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w:t>
      </w:r>
      <w:r w:rsidR="00A6524C">
        <w:rPr>
          <w:rFonts w:ascii="Times New Roman" w:hAnsi="Times New Roman" w:cs="Times New Roman"/>
          <w:sz w:val="24"/>
          <w:lang w:val="en-US"/>
        </w:rPr>
        <w:t>periods</w:t>
      </w:r>
      <w:r w:rsidR="00A6524C" w:rsidRPr="00B72C3D">
        <w:rPr>
          <w:rFonts w:ascii="Times New Roman" w:hAnsi="Times New Roman" w:cs="Times New Roman"/>
          <w:sz w:val="24"/>
          <w:lang w:val="en-US"/>
        </w:rPr>
        <w:t xml:space="preserve"> </w:t>
      </w:r>
      <w:r w:rsidR="00145E90" w:rsidRPr="00B72C3D">
        <w:rPr>
          <w:rFonts w:ascii="Times New Roman" w:hAnsi="Times New Roman" w:cs="Times New Roman"/>
          <w:sz w:val="24"/>
          <w:lang w:val="en-US"/>
        </w:rPr>
        <w:t>(1 and 7 days)</w:t>
      </w:r>
      <w:r w:rsidRPr="00B72C3D">
        <w:rPr>
          <w:rFonts w:ascii="Times New Roman" w:hAnsi="Times New Roman" w:cs="Times New Roman"/>
          <w:sz w:val="24"/>
          <w:lang w:val="en-US"/>
        </w:rPr>
        <w:t xml:space="preserve">.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The exposure of As in Nile tilapia induced  responses in the l</w:t>
      </w:r>
      <w:r w:rsidR="008627B2">
        <w:rPr>
          <w:rFonts w:ascii="Times New Roman" w:hAnsi="Times New Roman" w:cs="Times New Roman"/>
          <w:sz w:val="24"/>
          <w:szCs w:val="24"/>
          <w:lang w:val="en-US"/>
        </w:rPr>
        <w:t>iver, stomach, gills, and muscle</w:t>
      </w:r>
      <w:r w:rsidR="008973A6" w:rsidRPr="008973A6">
        <w:rPr>
          <w:rFonts w:ascii="Times New Roman" w:hAnsi="Times New Roman" w:cs="Times New Roman"/>
          <w:sz w:val="24"/>
          <w:szCs w:val="24"/>
          <w:lang w:val="en-US"/>
        </w:rPr>
        <w:t xml:space="preserve">, indicating that the tissues have specificity and sensitivity in the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the antioxidant defenses. Treatment with As(III) and (V)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w:t>
      </w:r>
      <w:r w:rsidR="002C0A79">
        <w:rPr>
          <w:rFonts w:ascii="Times New Roman" w:hAnsi="Times New Roman" w:cs="Times New Roman"/>
          <w:sz w:val="24"/>
          <w:szCs w:val="24"/>
          <w:lang w:val="en-US"/>
        </w:rPr>
        <w:t xml:space="preserve">, along with </w:t>
      </w:r>
      <w:r w:rsidR="008973A6" w:rsidRPr="008973A6">
        <w:rPr>
          <w:rFonts w:ascii="Times New Roman" w:hAnsi="Times New Roman" w:cs="Times New Roman"/>
          <w:sz w:val="24"/>
          <w:szCs w:val="24"/>
          <w:lang w:val="en-US"/>
        </w:rPr>
        <w:t xml:space="preserve">increased </w:t>
      </w:r>
      <w:r w:rsidR="002C0A79">
        <w:rPr>
          <w:rFonts w:ascii="Times New Roman" w:hAnsi="Times New Roman" w:cs="Times New Roman"/>
          <w:sz w:val="24"/>
          <w:szCs w:val="24"/>
          <w:lang w:val="en-US"/>
        </w:rPr>
        <w:t>bio</w:t>
      </w:r>
      <w:r w:rsidR="002C0A79" w:rsidRPr="008973A6">
        <w:rPr>
          <w:rFonts w:ascii="Times New Roman" w:hAnsi="Times New Roman" w:cs="Times New Roman"/>
          <w:sz w:val="24"/>
          <w:szCs w:val="24"/>
          <w:lang w:val="en-US"/>
        </w:rPr>
        <w:t>molecule</w:t>
      </w:r>
      <w:r w:rsidR="002C0A79">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oxidation levels</w:t>
      </w:r>
      <w:r w:rsidR="002C0A79" w:rsidRPr="008973A6">
        <w:rPr>
          <w:rFonts w:ascii="Times New Roman" w:hAnsi="Times New Roman" w:cs="Times New Roman"/>
          <w:sz w:val="24"/>
          <w:szCs w:val="24"/>
          <w:lang w:val="en-US"/>
        </w:rPr>
        <w:t>, regardless of the concentration tested</w:t>
      </w:r>
      <w:r w:rsidR="008973A6" w:rsidRPr="008973A6">
        <w:rPr>
          <w:rFonts w:ascii="Times New Roman" w:hAnsi="Times New Roman" w:cs="Times New Roman"/>
          <w:sz w:val="24"/>
          <w:szCs w:val="24"/>
          <w:lang w:val="en-US"/>
        </w:rPr>
        <w:t xml:space="preserve">. This pattern of enzymatic inhibition was more evident in the stomach and </w:t>
      </w:r>
      <w:r w:rsidR="00F647E8">
        <w:rPr>
          <w:rFonts w:ascii="Times New Roman" w:hAnsi="Times New Roman" w:cs="Times New Roman"/>
          <w:sz w:val="24"/>
          <w:szCs w:val="24"/>
          <w:lang w:val="en-US"/>
        </w:rPr>
        <w:t>muscle</w:t>
      </w:r>
      <w:r w:rsidR="008973A6" w:rsidRPr="008973A6">
        <w:rPr>
          <w:rFonts w:ascii="Times New Roman" w:hAnsi="Times New Roman" w:cs="Times New Roman"/>
          <w:sz w:val="24"/>
          <w:szCs w:val="24"/>
          <w:lang w:val="en-US"/>
        </w:rPr>
        <w:t xml:space="preserve">, tissues not commonly evaluated in toxicological studies, but </w:t>
      </w:r>
      <w:r w:rsidR="002C0A79">
        <w:rPr>
          <w:rFonts w:ascii="Times New Roman" w:hAnsi="Times New Roman" w:cs="Times New Roman"/>
          <w:sz w:val="24"/>
          <w:szCs w:val="24"/>
          <w:lang w:val="en-US"/>
        </w:rPr>
        <w:t>th</w:t>
      </w:r>
      <w:r w:rsidR="000425AA">
        <w:rPr>
          <w:rFonts w:ascii="Times New Roman" w:hAnsi="Times New Roman" w:cs="Times New Roman"/>
          <w:sz w:val="24"/>
          <w:szCs w:val="24"/>
          <w:lang w:val="en-US"/>
        </w:rPr>
        <w:t>ey</w:t>
      </w:r>
      <w:r w:rsidR="002C0A79" w:rsidRPr="008973A6">
        <w:rPr>
          <w:rFonts w:ascii="Times New Roman" w:hAnsi="Times New Roman" w:cs="Times New Roman"/>
          <w:sz w:val="24"/>
          <w:szCs w:val="24"/>
          <w:lang w:val="en-US"/>
        </w:rPr>
        <w:t xml:space="preserve"> </w:t>
      </w:r>
      <w:r w:rsidR="008973A6" w:rsidRPr="008973A6">
        <w:rPr>
          <w:rFonts w:ascii="Times New Roman" w:hAnsi="Times New Roman" w:cs="Times New Roman"/>
          <w:sz w:val="24"/>
          <w:szCs w:val="24"/>
          <w:lang w:val="en-US"/>
        </w:rPr>
        <w:t>have</w:t>
      </w:r>
      <w:r w:rsidR="000425AA">
        <w:rPr>
          <w:rFonts w:ascii="Times New Roman" w:hAnsi="Times New Roman" w:cs="Times New Roman"/>
          <w:sz w:val="24"/>
          <w:szCs w:val="24"/>
          <w:lang w:val="en-US"/>
        </w:rPr>
        <w:t xml:space="preserve"> a </w:t>
      </w:r>
      <w:r w:rsidR="008973A6" w:rsidRPr="008973A6">
        <w:rPr>
          <w:rFonts w:ascii="Times New Roman" w:hAnsi="Times New Roman" w:cs="Times New Roman"/>
          <w:sz w:val="24"/>
          <w:szCs w:val="24"/>
          <w:lang w:val="en-US"/>
        </w:rPr>
        <w:t>significant environmental and economic relevance.</w:t>
      </w:r>
    </w:p>
    <w:p w:rsidR="0079154C" w:rsidRDefault="0079154C" w:rsidP="00145E90">
      <w:pPr>
        <w:rPr>
          <w:rFonts w:ascii="Times New Roman" w:hAnsi="Times New Roman" w:cs="Times New Roman"/>
          <w:b/>
          <w:sz w:val="24"/>
          <w:szCs w:val="24"/>
          <w:lang w:val="en-US"/>
        </w:rPr>
      </w:pPr>
    </w:p>
    <w:p w:rsidR="0079154C" w:rsidRPr="0032729D" w:rsidRDefault="00FA5346"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008627B2" w:rsidRPr="008627B2">
        <w:rPr>
          <w:rFonts w:ascii="Times New Roman" w:hAnsi="Times New Roman" w:cs="Times New Roman"/>
          <w:sz w:val="24"/>
          <w:szCs w:val="24"/>
          <w:lang w:val="en-US"/>
        </w:rPr>
        <w:t>Inorganic arsenic;</w:t>
      </w:r>
      <w:r w:rsidR="008627B2">
        <w:rPr>
          <w:rFonts w:ascii="Times New Roman" w:hAnsi="Times New Roman" w:cs="Times New Roman"/>
          <w:b/>
          <w:sz w:val="24"/>
          <w:szCs w:val="24"/>
          <w:lang w:val="en-US"/>
        </w:rPr>
        <w:t xml:space="preserve"> </w:t>
      </w:r>
      <w:r w:rsidR="008627B2" w:rsidRPr="008627B2">
        <w:rPr>
          <w:rFonts w:ascii="Times New Roman" w:hAnsi="Times New Roman" w:cs="Times New Roman"/>
          <w:sz w:val="24"/>
          <w:szCs w:val="24"/>
          <w:lang w:val="en-US"/>
        </w:rPr>
        <w:t>Nile tilapia</w:t>
      </w:r>
      <w:r w:rsidR="008627B2">
        <w:rPr>
          <w:rFonts w:ascii="Times New Roman" w:hAnsi="Times New Roman" w:cs="Times New Roman"/>
          <w:b/>
          <w:sz w:val="24"/>
          <w:szCs w:val="24"/>
          <w:lang w:val="en-US"/>
        </w:rPr>
        <w:t xml:space="preserve"> (</w:t>
      </w:r>
      <w:r w:rsidRPr="0032729D">
        <w:rPr>
          <w:rFonts w:ascii="Times New Roman" w:hAnsi="Times New Roman" w:cs="Times New Roman"/>
          <w:i/>
          <w:sz w:val="24"/>
          <w:szCs w:val="24"/>
          <w:lang w:val="en-US"/>
        </w:rPr>
        <w:t>Oreochromis niloticus</w:t>
      </w:r>
      <w:r w:rsidR="008627B2">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362E5B">
        <w:rPr>
          <w:rFonts w:ascii="Times New Roman" w:hAnsi="Times New Roman" w:cs="Times New Roman"/>
          <w:sz w:val="24"/>
          <w:szCs w:val="24"/>
          <w:lang w:val="en-US"/>
        </w:rPr>
        <w:t xml:space="preserve">ive stress </w:t>
      </w:r>
      <w:r w:rsidR="008627B2">
        <w:rPr>
          <w:rFonts w:ascii="Times New Roman" w:hAnsi="Times New Roman" w:cs="Times New Roman"/>
          <w:sz w:val="24"/>
          <w:szCs w:val="24"/>
          <w:lang w:val="en-US"/>
        </w:rPr>
        <w:t xml:space="preserve">biomarkers; antioxidant </w:t>
      </w:r>
      <w:r w:rsidR="008627B2" w:rsidRPr="008627B2">
        <w:rPr>
          <w:rFonts w:ascii="Times New Roman" w:hAnsi="Times New Roman" w:cs="Times New Roman"/>
          <w:sz w:val="24"/>
          <w:szCs w:val="24"/>
          <w:lang w:val="en-US"/>
        </w:rPr>
        <w:t>enzymes</w:t>
      </w:r>
    </w:p>
    <w:p w:rsidR="009149D9" w:rsidRDefault="009149D9"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8973A6" w:rsidRDefault="008973A6" w:rsidP="009149D9">
      <w:pPr>
        <w:rPr>
          <w:rFonts w:ascii="Times New Roman" w:hAnsi="Times New Roman" w:cs="Times New Roman"/>
          <w:b/>
          <w:sz w:val="24"/>
          <w:szCs w:val="24"/>
          <w:lang w:val="en-US"/>
        </w:rPr>
      </w:pPr>
    </w:p>
    <w:p w:rsidR="004251EE" w:rsidRDefault="004251EE" w:rsidP="009149D9">
      <w:pPr>
        <w:rPr>
          <w:rFonts w:ascii="Times New Roman" w:hAnsi="Times New Roman" w:cs="Times New Roman"/>
          <w:b/>
          <w:sz w:val="24"/>
          <w:szCs w:val="24"/>
          <w:lang w:val="en-US"/>
        </w:rPr>
      </w:pPr>
    </w:p>
    <w:p w:rsidR="008627B2" w:rsidRDefault="008627B2" w:rsidP="009149D9">
      <w:pPr>
        <w:rPr>
          <w:rFonts w:ascii="Times New Roman" w:hAnsi="Times New Roman" w:cs="Times New Roman"/>
          <w:b/>
          <w:sz w:val="24"/>
          <w:szCs w:val="24"/>
          <w:lang w:val="en-US"/>
        </w:rPr>
      </w:pPr>
    </w:p>
    <w:p w:rsidR="008973A6" w:rsidRPr="0032729D" w:rsidRDefault="008973A6" w:rsidP="009149D9">
      <w:pPr>
        <w:rPr>
          <w:rFonts w:ascii="Times New Roman" w:hAnsi="Times New Roman" w:cs="Times New Roman"/>
          <w:b/>
          <w:sz w:val="24"/>
          <w:szCs w:val="24"/>
          <w:lang w:val="en-US"/>
        </w:rPr>
      </w:pPr>
    </w:p>
    <w:p w:rsidR="00EC2CF1" w:rsidRDefault="00FA5346"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rsidR="00AA3862" w:rsidRDefault="00AA3862" w:rsidP="003B1A25">
      <w:pPr>
        <w:pStyle w:val="NormalWeb"/>
        <w:spacing w:before="0" w:beforeAutospacing="0" w:after="240" w:afterAutospacing="0" w:line="360" w:lineRule="auto"/>
        <w:ind w:firstLine="360"/>
        <w:jc w:val="both"/>
        <w:rPr>
          <w:color w:val="0E101A"/>
        </w:rPr>
      </w:pPr>
    </w:p>
    <w:p w:rsidR="00AD3AAA" w:rsidRDefault="00FA5346" w:rsidP="003B1A25">
      <w:pPr>
        <w:pStyle w:val="NormalWeb"/>
        <w:spacing w:before="0" w:beforeAutospacing="0" w:after="240" w:afterAutospacing="0" w:line="360" w:lineRule="auto"/>
        <w:ind w:firstLine="360"/>
        <w:jc w:val="both"/>
        <w:rPr>
          <w:color w:val="0E101A"/>
        </w:rPr>
      </w:pPr>
      <w:r>
        <w:rPr>
          <w:color w:val="0E101A"/>
        </w:rPr>
        <w:t>Fishes are considered healthier foods than other types of protein, as they offer a variety of vitamins and nutrients and have a low saturated fat content (ERSOY; ÖZEREN, 2009; MORALES; HIGUCHI, 2018). Thus, high growth in the fish market has been observed in recent years. In addition to their nutritional importance, fish play an economic and social role, as their production chain generates jobs and income for small and large producers. Tilapia is on the top of the most cultivated and consumed fish in Brazil. According to the 2022 Yearbook published by the Brazilian Fish Farming Association, tilapia production reached 534,000 tons, representing 63.5% of all Brazilian fish farming in 2021. Production grew by an expressive 9.8% compared to 2020, which proves the national preference for the species. With this result, Brazil consolidates its 4</w:t>
      </w:r>
      <w:r w:rsidRPr="00AD3AAA">
        <w:rPr>
          <w:color w:val="0E101A"/>
          <w:vertAlign w:val="superscript"/>
        </w:rPr>
        <w:t>th</w:t>
      </w:r>
      <w:r>
        <w:rPr>
          <w:color w:val="0E101A"/>
        </w:rPr>
        <w:t xml:space="preserve"> position among the largest Tilapia producers in the world. For this reason, it was chosen as our object of study.</w:t>
      </w:r>
    </w:p>
    <w:p w:rsidR="00AD3AAA" w:rsidRDefault="00FA5346" w:rsidP="003B1A25">
      <w:pPr>
        <w:pStyle w:val="NormalWeb"/>
        <w:spacing w:before="0" w:beforeAutospacing="0" w:after="240" w:afterAutospacing="0" w:line="360" w:lineRule="auto"/>
        <w:ind w:firstLine="360"/>
        <w:jc w:val="both"/>
        <w:rPr>
          <w:color w:val="0E101A"/>
        </w:rPr>
      </w:pPr>
      <w:r>
        <w:rPr>
          <w:color w:val="0E101A"/>
        </w:rPr>
        <w:t>Despite the numerous benefits, fish can be exposed to multiple toxic inorganic contaminants present in water, such as arsenic (As). It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 Arsenic triggers bioaccumulation and biotransformation in aquatic species through the food chain (AZIZUR RAHMAN; HASEGAWA; PETER LIM, 2012; CHIARELLI; ROCCHERI, 2014). 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w:t>
      </w:r>
    </w:p>
    <w:p w:rsidR="00AD3AAA" w:rsidRDefault="00FA5346" w:rsidP="003B1A25">
      <w:pPr>
        <w:pStyle w:val="NormalWeb"/>
        <w:spacing w:before="0" w:beforeAutospacing="0" w:after="240" w:afterAutospacing="0" w:line="360" w:lineRule="auto"/>
        <w:ind w:firstLine="360"/>
        <w:jc w:val="both"/>
        <w:rPr>
          <w:color w:val="0E101A"/>
        </w:rPr>
      </w:pPr>
      <w:r>
        <w:rPr>
          <w:color w:val="0E101A"/>
        </w:rPr>
        <w:t>Nile tilapia </w:t>
      </w:r>
      <w:r>
        <w:rPr>
          <w:rStyle w:val="nfase"/>
          <w:color w:val="0E101A"/>
        </w:rPr>
        <w:t>(Oreochromis niloticus</w:t>
      </w:r>
      <w:r>
        <w:rPr>
          <w:color w:val="0E101A"/>
        </w:rPr>
        <w:t>) has been used as an excellent biological model for toxicological studies of aquatic contamination, as it accumulates high concentrations of inorganic contaminants such as As in its tissues, transferring them to different trophic levels (CUNNINGHAM et al., 2019; LIAO et al., 2003; TAWEEL; SHUHAIMI-OTHMAN; AHMAD, 2013; OLIVEIRA et al., 2017; FERREIRA et al., 2019). </w:t>
      </w:r>
    </w:p>
    <w:p w:rsidR="00EE1573" w:rsidRDefault="00FA5346" w:rsidP="003B1A25">
      <w:pPr>
        <w:pStyle w:val="NormalWeb"/>
        <w:spacing w:before="0" w:beforeAutospacing="0" w:after="240" w:afterAutospacing="0" w:line="360" w:lineRule="auto"/>
        <w:ind w:firstLine="360"/>
        <w:jc w:val="both"/>
        <w:rPr>
          <w:color w:val="0E101A"/>
        </w:rPr>
      </w:pPr>
      <w:r>
        <w:rPr>
          <w:color w:val="0E101A"/>
        </w:rPr>
        <w:lastRenderedPageBreak/>
        <w:t>The degree of toxicity of arsenic species varies with the chemical form and its oxidation state. The inorganic forms (iAs), represented by the trivalent (As(III)) and pentavalent (As(V)) species, are considered more toxic than the methylated organic species (monomethylarsonic acid (MMA), dimethylarsinic acid (DMA), and arsenobetaine (AsB)). Both inorganic and methylated species of arsenic inhibit cellular respiration, which causes the formation of reactive oxygen species (ROS), which consequently generates oxidative stress, one of the main theories postulated for the carcinogenicity of As (VENTURA-LIMA; BOGO; MONSERRAT, 2011). Bhattacharya and Bhattacharya (2007) described peaks of hydrogen peroxide (H</w:t>
      </w:r>
      <w:r w:rsidRPr="00EE1573">
        <w:rPr>
          <w:color w:val="0E101A"/>
          <w:vertAlign w:val="subscript"/>
        </w:rPr>
        <w:t>2</w:t>
      </w:r>
      <w:r>
        <w:rPr>
          <w:color w:val="0E101A"/>
        </w:rPr>
        <w:t>O</w:t>
      </w:r>
      <w:r w:rsidRPr="00EE1573">
        <w:rPr>
          <w:color w:val="0E101A"/>
          <w:vertAlign w:val="subscript"/>
        </w:rPr>
        <w:t>2</w:t>
      </w:r>
      <w:r>
        <w:rPr>
          <w:color w:val="0E101A"/>
        </w:rPr>
        <w:t>) production in cells of the fish </w:t>
      </w:r>
      <w:r>
        <w:rPr>
          <w:rStyle w:val="nfase"/>
          <w:color w:val="0E101A"/>
        </w:rPr>
        <w:t>Clarias batrachus</w:t>
      </w:r>
      <w:r>
        <w:rPr>
          <w:color w:val="0E101A"/>
        </w:rPr>
        <w:t> (Asian catfish, also known as walking catfish) after exposure to As(III). Another toxic effect that As can cause is the oxidation of molecules, which has been widely accepted as a mechanism of cell injury (HALLIWELL; GUTTERIDGE, 2015). Nandi, Patra, and Swarup (2005) demonstrated an increase in the oxidation of molecules in the liver and kidneys of rats exposed to As(III).</w:t>
      </w:r>
    </w:p>
    <w:p w:rsidR="00AD3AAA" w:rsidRDefault="00FA5346" w:rsidP="003B1A25">
      <w:pPr>
        <w:pStyle w:val="NormalWeb"/>
        <w:spacing w:before="0" w:beforeAutospacing="0" w:after="240" w:afterAutospacing="0" w:line="360" w:lineRule="auto"/>
        <w:ind w:firstLine="360"/>
        <w:jc w:val="both"/>
        <w:rPr>
          <w:color w:val="0E101A"/>
        </w:rPr>
      </w:pPr>
      <w:r>
        <w:rPr>
          <w:color w:val="0E101A"/>
        </w:rPr>
        <w:t>The antioxidant system is a defense system aiming to reduce the damage caused by the harmful action of ROS. It is formed by specific enzymes that catalyze multiple reactions, transforming reactive radicals into non-reactive molecules (VAN DER OOST; BEYER; VERMEULEN, 2003). The imbalance between ROS production and the action of antioxidant enzymes produces the so-called oxidative stress (JAVED et al., 2016). The main enzymes that act in the antioxidant defense system against ROS are glutathione (GSH), catalase (CAT), glutathione peroxidase (GPx), and glutathione reductase (GR), inactivating ROS in easily excreted intermediates (BARBOSA et al., 2010).</w:t>
      </w:r>
    </w:p>
    <w:p w:rsidR="00AD3AAA" w:rsidRDefault="00FA5346" w:rsidP="003B1A25">
      <w:pPr>
        <w:pStyle w:val="NormalWeb"/>
        <w:spacing w:before="0" w:beforeAutospacing="0" w:after="240" w:afterAutospacing="0" w:line="360" w:lineRule="auto"/>
        <w:ind w:firstLine="360"/>
        <w:jc w:val="both"/>
        <w:rPr>
          <w:color w:val="0E101A"/>
        </w:rPr>
      </w:pPr>
      <w:r>
        <w:rPr>
          <w:color w:val="0E101A"/>
        </w:rPr>
        <w:t>One enzyme responsible for biotransformation is glutathione S-transferase (GST), protecting the cell against oxidative damage and catalyzing the conjugation of the contaminants, transforming them into more water-soluble compounds and easily excreted (IBOR et al., 2019). Antioxidant defense and biotransformation enzymes are used as biomarkers of aquatic contamination. Thus, the measurements of these different enzymes and their alterations serve as parameters of adverse effects on the health of aquatic beings exposed to various contaminants, as in the case of exposure to As(III) and (V).</w:t>
      </w:r>
    </w:p>
    <w:p w:rsidR="00AD3AAA" w:rsidRDefault="00FA5346" w:rsidP="003B1A25">
      <w:pPr>
        <w:pStyle w:val="NormalWeb"/>
        <w:spacing w:before="0" w:beforeAutospacing="0" w:after="240" w:afterAutospacing="0" w:line="360" w:lineRule="auto"/>
        <w:ind w:firstLine="360"/>
        <w:jc w:val="both"/>
        <w:rPr>
          <w:color w:val="0E101A"/>
        </w:rPr>
      </w:pPr>
      <w:r>
        <w:rPr>
          <w:color w:val="0E101A"/>
        </w:rPr>
        <w:t xml:space="preserve">This study aimed to carry out As(III) and (V) </w:t>
      </w:r>
      <w:r w:rsidR="003B1A25" w:rsidRPr="00A6524C">
        <w:rPr>
          <w:lang w:val="en-US"/>
        </w:rPr>
        <w:t>controlled toxicity</w:t>
      </w:r>
      <w:r w:rsidR="003B1A25" w:rsidRPr="00B72C3D">
        <w:rPr>
          <w:lang w:val="en-US"/>
        </w:rPr>
        <w:t xml:space="preserve"> assays </w:t>
      </w:r>
      <w:r>
        <w:rPr>
          <w:color w:val="0E101A"/>
        </w:rPr>
        <w:t>at different concentrations (5.0 and 10 mg L-1) and exposure times (1 and 7 days) to evaluate the acute effects on the l</w:t>
      </w:r>
      <w:r w:rsidR="00FE48D9">
        <w:rPr>
          <w:color w:val="0E101A"/>
        </w:rPr>
        <w:t>iver, stomach, gills, and muscle</w:t>
      </w:r>
      <w:r>
        <w:rPr>
          <w:color w:val="0E101A"/>
        </w:rPr>
        <w:t xml:space="preserve"> in Nile tilapia (</w:t>
      </w:r>
      <w:r w:rsidRPr="00732E5E">
        <w:rPr>
          <w:i/>
          <w:color w:val="0E101A"/>
        </w:rPr>
        <w:t>O. niloticus</w:t>
      </w:r>
      <w:r>
        <w:rPr>
          <w:color w:val="0E101A"/>
        </w:rPr>
        <w:t xml:space="preserve">) in terms </w:t>
      </w:r>
      <w:r>
        <w:rPr>
          <w:color w:val="0E101A"/>
        </w:rPr>
        <w:lastRenderedPageBreak/>
        <w:t>of oxidative stress, monitoring the enzymatic activities of CAT, GPx, GST, GR, and also the levels of oxidized biomolecules.</w:t>
      </w:r>
    </w:p>
    <w:p w:rsidR="00AA3862" w:rsidRDefault="00AA3862" w:rsidP="003B1A25">
      <w:pPr>
        <w:pStyle w:val="NormalWeb"/>
        <w:spacing w:before="0" w:beforeAutospacing="0" w:after="240" w:afterAutospacing="0" w:line="360" w:lineRule="auto"/>
        <w:ind w:firstLine="360"/>
        <w:jc w:val="both"/>
        <w:rPr>
          <w:color w:val="0E101A"/>
        </w:rPr>
      </w:pPr>
    </w:p>
    <w:p w:rsidR="0079154C" w:rsidRPr="00F10032" w:rsidRDefault="00FA5346"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rsidR="00B452CE" w:rsidRPr="00495518" w:rsidRDefault="00B452CE" w:rsidP="00C84F69">
      <w:pPr>
        <w:spacing w:line="240" w:lineRule="auto"/>
        <w:ind w:firstLine="360"/>
        <w:jc w:val="both"/>
        <w:rPr>
          <w:rFonts w:ascii="Times New Roman" w:hAnsi="Times New Roman" w:cs="Times New Roman"/>
          <w:sz w:val="24"/>
          <w:szCs w:val="24"/>
          <w:lang w:val="en-US"/>
        </w:rPr>
      </w:pPr>
    </w:p>
    <w:p w:rsidR="0079154C" w:rsidRDefault="00FA5346"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rsidR="00AA3862" w:rsidRPr="00495518" w:rsidRDefault="00AA3862" w:rsidP="00AA3862">
      <w:pPr>
        <w:pStyle w:val="PargrafodaLista"/>
        <w:spacing w:before="240" w:line="360" w:lineRule="auto"/>
        <w:jc w:val="both"/>
        <w:rPr>
          <w:rFonts w:ascii="Times New Roman" w:hAnsi="Times New Roman" w:cs="Times New Roman"/>
          <w:b/>
          <w:sz w:val="24"/>
          <w:szCs w:val="24"/>
          <w:lang w:val="en-US"/>
        </w:rPr>
      </w:pPr>
    </w:p>
    <w:p w:rsidR="007D096C" w:rsidRPr="00F10032" w:rsidRDefault="00FA5346"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All the inorganic arsenic solutions required for the </w:t>
      </w:r>
      <w:r w:rsidRPr="003B1A25">
        <w:rPr>
          <w:rFonts w:ascii="Times New Roman" w:hAnsi="Times New Roman" w:cs="Times New Roman"/>
          <w:i/>
          <w:iCs/>
          <w:sz w:val="24"/>
          <w:szCs w:val="24"/>
          <w:lang w:val="en-US"/>
        </w:rPr>
        <w:t>in situ</w:t>
      </w:r>
      <w:r w:rsidRPr="00F10032">
        <w:rPr>
          <w:rFonts w:ascii="Times New Roman" w:hAnsi="Times New Roman" w:cs="Times New Roman"/>
          <w:sz w:val="24"/>
          <w:szCs w:val="24"/>
          <w:lang w:val="en-US"/>
        </w:rPr>
        <w:t xml:space="preserve">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rsidR="00F401D9" w:rsidRPr="00F10032" w:rsidRDefault="00F401D9" w:rsidP="00AA3862">
      <w:pPr>
        <w:spacing w:line="360" w:lineRule="auto"/>
        <w:ind w:firstLine="360"/>
        <w:jc w:val="both"/>
        <w:rPr>
          <w:rFonts w:ascii="Times New Roman" w:hAnsi="Times New Roman" w:cs="Times New Roman"/>
          <w:sz w:val="24"/>
          <w:szCs w:val="24"/>
          <w:lang w:val="en-US"/>
        </w:rPr>
      </w:pPr>
    </w:p>
    <w:p w:rsidR="00B452CE" w:rsidRDefault="00FA5346"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rsidR="00AA3862" w:rsidRPr="00F10032" w:rsidRDefault="00AA3862" w:rsidP="00AA3862">
      <w:pPr>
        <w:pStyle w:val="PargrafodaLista"/>
        <w:spacing w:before="240" w:line="360" w:lineRule="auto"/>
        <w:jc w:val="both"/>
        <w:rPr>
          <w:rFonts w:ascii="Times New Roman" w:hAnsi="Times New Roman" w:cs="Times New Roman"/>
          <w:b/>
          <w:sz w:val="24"/>
          <w:szCs w:val="24"/>
          <w:lang w:val="en-US"/>
        </w:rPr>
      </w:pPr>
    </w:p>
    <w:p w:rsidR="003B1A25" w:rsidRDefault="00FA5346" w:rsidP="003B1A25">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xml:space="preserve">), free from any visible deformities, lesions, or diseases, were obtained from a stocked pond at São Paulo State University (UNESP), located in São José do Rio Preto, São Paulo State, Brazil. The fishes (n=50) were distributed in </w:t>
      </w:r>
      <w:r>
        <w:rPr>
          <w:rFonts w:ascii="Times New Roman" w:hAnsi="Times New Roman" w:cs="Times New Roman"/>
          <w:sz w:val="24"/>
          <w:szCs w:val="24"/>
          <w:lang w:val="en-US"/>
        </w:rPr>
        <w:t>500</w:t>
      </w:r>
      <w:r w:rsidRPr="00F10032">
        <w:rPr>
          <w:rFonts w:ascii="Times New Roman" w:hAnsi="Times New Roman" w:cs="Times New Roman"/>
          <w:sz w:val="24"/>
          <w:szCs w:val="24"/>
          <w:lang w:val="en-US"/>
        </w:rPr>
        <w:t xml:space="preserve">-L tanks with constant </w:t>
      </w:r>
      <w:r>
        <w:rPr>
          <w:rFonts w:ascii="Times New Roman" w:hAnsi="Times New Roman" w:cs="Times New Roman"/>
          <w:sz w:val="24"/>
          <w:szCs w:val="24"/>
          <w:lang w:val="en-US"/>
        </w:rPr>
        <w:t>aeration</w:t>
      </w:r>
      <w:r w:rsidRPr="00F10032">
        <w:rPr>
          <w:rFonts w:ascii="Times New Roman" w:hAnsi="Times New Roman" w:cs="Times New Roman"/>
          <w:sz w:val="24"/>
          <w:szCs w:val="24"/>
          <w:lang w:val="en-US"/>
        </w:rPr>
        <w:t xml:space="preserve"> and controlled temperature (27 ± 2°C), remaining for 21 days of acclimatization, with a </w:t>
      </w:r>
      <w:r>
        <w:rPr>
          <w:rFonts w:ascii="Times New Roman" w:hAnsi="Times New Roman" w:cs="Times New Roman"/>
          <w:sz w:val="24"/>
          <w:szCs w:val="24"/>
          <w:lang w:val="en-US"/>
        </w:rPr>
        <w:t>12-hour</w:t>
      </w:r>
      <w:r w:rsidRPr="00F10032">
        <w:rPr>
          <w:rFonts w:ascii="Times New Roman" w:hAnsi="Times New Roman" w:cs="Times New Roman"/>
          <w:sz w:val="24"/>
          <w:szCs w:val="24"/>
          <w:lang w:val="en-US"/>
        </w:rPr>
        <w:t xml:space="preserve"> light-dark cycle. They were fed daily but were fasted for 24 h </w:t>
      </w:r>
      <w:r>
        <w:rPr>
          <w:rFonts w:ascii="Times New Roman" w:hAnsi="Times New Roman" w:cs="Times New Roman"/>
          <w:sz w:val="24"/>
          <w:szCs w:val="24"/>
          <w:lang w:val="en-US"/>
        </w:rPr>
        <w:t>before</w:t>
      </w:r>
      <w:r w:rsidRPr="00F1003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 </w:t>
      </w:r>
      <w:r w:rsidRPr="00F10032">
        <w:rPr>
          <w:rFonts w:ascii="Times New Roman" w:hAnsi="Times New Roman" w:cs="Times New Roman"/>
          <w:sz w:val="24"/>
          <w:szCs w:val="24"/>
          <w:lang w:val="en-US"/>
        </w:rPr>
        <w:t>experimental period to prevent extensive water contamination by excrements. Th</w:t>
      </w:r>
      <w:r>
        <w:rPr>
          <w:rFonts w:ascii="Times New Roman" w:hAnsi="Times New Roman" w:cs="Times New Roman"/>
          <w:sz w:val="24"/>
          <w:szCs w:val="24"/>
          <w:lang w:val="en-US"/>
        </w:rPr>
        <w:t>is experiment</w:t>
      </w:r>
      <w:r w:rsidRPr="00F10032">
        <w:rPr>
          <w:rFonts w:ascii="Times New Roman" w:hAnsi="Times New Roman" w:cs="Times New Roman"/>
          <w:sz w:val="24"/>
          <w:szCs w:val="24"/>
          <w:lang w:val="en-US"/>
        </w:rPr>
        <w:t xml:space="preserve"> was approved by the Ethics Committee on the Use of Animals (ECUA) of São Paulo State University (Protocol number 204/2019).</w:t>
      </w:r>
    </w:p>
    <w:p w:rsidR="00FC4F91" w:rsidRDefault="00FC4F91" w:rsidP="00FE5224">
      <w:pPr>
        <w:spacing w:line="360" w:lineRule="auto"/>
        <w:ind w:firstLine="360"/>
        <w:jc w:val="both"/>
        <w:rPr>
          <w:rFonts w:ascii="Times New Roman" w:hAnsi="Times New Roman" w:cs="Times New Roman"/>
          <w:sz w:val="24"/>
          <w:szCs w:val="24"/>
          <w:lang w:val="en-US"/>
        </w:rPr>
      </w:pPr>
    </w:p>
    <w:p w:rsidR="00B452CE" w:rsidRDefault="00FA5346"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Experimental procedure</w:t>
      </w:r>
    </w:p>
    <w:p w:rsidR="00AA3862" w:rsidRPr="00F10032" w:rsidRDefault="00AA3862" w:rsidP="00AA3862">
      <w:pPr>
        <w:pStyle w:val="PargrafodaLista"/>
        <w:spacing w:line="360" w:lineRule="auto"/>
        <w:rPr>
          <w:rFonts w:ascii="Times New Roman" w:hAnsi="Times New Roman" w:cs="Times New Roman"/>
          <w:b/>
          <w:sz w:val="24"/>
          <w:szCs w:val="24"/>
          <w:lang w:val="en-US"/>
        </w:rPr>
      </w:pPr>
    </w:p>
    <w:p w:rsidR="00075DC7" w:rsidRPr="00075DC7" w:rsidRDefault="00FA5346"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t>The assay was developed according to the methodologies proposed by Liao et al. (2003), Tsai and Liao (2006), Chen et al. (2018), and Ferreira et al. (2019), in addition to the guide published by the Organization for Economic Co-operation and Development (OECD) test guideline nº 203 (OECD, 1992).</w:t>
      </w:r>
    </w:p>
    <w:p w:rsidR="00075DC7" w:rsidRPr="00075DC7" w:rsidRDefault="00FA5346" w:rsidP="00075DC7">
      <w:pPr>
        <w:spacing w:line="360" w:lineRule="auto"/>
        <w:ind w:firstLine="360"/>
        <w:jc w:val="both"/>
        <w:rPr>
          <w:rFonts w:ascii="Times New Roman" w:hAnsi="Times New Roman" w:cs="Times New Roman"/>
          <w:sz w:val="24"/>
          <w:szCs w:val="24"/>
          <w:lang w:val="en-US"/>
        </w:rPr>
      </w:pPr>
      <w:r w:rsidRPr="00075DC7">
        <w:rPr>
          <w:rFonts w:ascii="Times New Roman" w:hAnsi="Times New Roman" w:cs="Times New Roman"/>
          <w:sz w:val="24"/>
          <w:szCs w:val="24"/>
          <w:lang w:val="en-US"/>
        </w:rPr>
        <w:lastRenderedPageBreak/>
        <w:t>The arsenic-controlled assay was performed for one and seven days at two different concentrations to verify the acute toxicity, separately for iAs(III) and iAs(V). The tilapia were divided into control, 5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and 10 mg L</w:t>
      </w:r>
      <w:r w:rsidRPr="00075DC7">
        <w:rPr>
          <w:rFonts w:ascii="Times New Roman" w:hAnsi="Times New Roman" w:cs="Times New Roman"/>
          <w:sz w:val="24"/>
          <w:szCs w:val="24"/>
          <w:vertAlign w:val="superscript"/>
          <w:lang w:val="en-US"/>
        </w:rPr>
        <w:t>-1</w:t>
      </w:r>
      <w:r w:rsidRPr="00075DC7">
        <w:rPr>
          <w:rFonts w:ascii="Times New Roman" w:hAnsi="Times New Roman" w:cs="Times New Roman"/>
          <w:sz w:val="24"/>
          <w:szCs w:val="24"/>
          <w:lang w:val="en-US"/>
        </w:rPr>
        <w:t>. The As concentrations are 20–50 times higher than those in field conditions to produce high As the level in target organs of tilapia. However, according to our previous studies, the concentrations used in these controlled toxicity assays are below the LC50 value (FERREIRA et al., 2019).</w:t>
      </w:r>
    </w:p>
    <w:p w:rsidR="00F401D9" w:rsidRDefault="00FA5346" w:rsidP="006E40A0">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Each group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 exposed individually to the</w:t>
      </w:r>
      <w:r w:rsidR="002941E0" w:rsidRPr="00F10032">
        <w:rPr>
          <w:rFonts w:ascii="Times New Roman" w:hAnsi="Times New Roman" w:cs="Times New Roman"/>
          <w:sz w:val="24"/>
          <w:szCs w:val="24"/>
          <w:lang w:val="en-US"/>
        </w:rPr>
        <w:t xml:space="preserve"> treatment in aquariums of 10</w:t>
      </w:r>
      <w:r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6E40A0">
        <w:rPr>
          <w:rFonts w:ascii="Times New Roman" w:hAnsi="Times New Roman" w:cs="Times New Roman"/>
          <w:sz w:val="24"/>
          <w:szCs w:val="24"/>
          <w:lang w:val="en-US"/>
        </w:rPr>
        <w:t xml:space="preserve"> and muscle</w:t>
      </w:r>
      <w:r w:rsidR="009043F2" w:rsidRPr="00F10032">
        <w:rPr>
          <w:rFonts w:ascii="Times New Roman" w:hAnsi="Times New Roman" w:cs="Times New Roman"/>
          <w:sz w:val="24"/>
          <w:szCs w:val="24"/>
          <w:lang w:val="en-US"/>
        </w:rPr>
        <w:t xml:space="preserve">.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rsidR="00B452CE" w:rsidRPr="00F10032" w:rsidRDefault="00B452CE" w:rsidP="00AA3862">
      <w:pPr>
        <w:spacing w:line="360" w:lineRule="auto"/>
        <w:ind w:firstLine="360"/>
        <w:jc w:val="both"/>
        <w:rPr>
          <w:rFonts w:ascii="Times New Roman" w:hAnsi="Times New Roman" w:cs="Times New Roman"/>
          <w:sz w:val="24"/>
          <w:szCs w:val="24"/>
          <w:lang w:val="en-US"/>
        </w:rPr>
      </w:pPr>
    </w:p>
    <w:p w:rsidR="00B452CE" w:rsidRDefault="00FA5346"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rsidR="00AA3862" w:rsidRPr="00F10032" w:rsidRDefault="00AA3862" w:rsidP="00AA3862">
      <w:pPr>
        <w:pStyle w:val="PargrafodaLista"/>
        <w:spacing w:line="360" w:lineRule="auto"/>
        <w:rPr>
          <w:rFonts w:ascii="Times New Roman" w:hAnsi="Times New Roman" w:cs="Times New Roman"/>
          <w:b/>
          <w:sz w:val="24"/>
          <w:szCs w:val="24"/>
          <w:lang w:val="en-US"/>
        </w:rPr>
      </w:pPr>
    </w:p>
    <w:p w:rsidR="00CD02D3" w:rsidRDefault="00FA5346"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00FE48D9">
        <w:rPr>
          <w:rFonts w:ascii="Times New Roman" w:hAnsi="Times New Roman" w:cs="Times New Roman"/>
          <w:sz w:val="24"/>
          <w:szCs w:val="24"/>
          <w:lang w:val="en-US"/>
        </w:rPr>
        <w:t xml:space="preserve"> and muscle</w:t>
      </w:r>
      <w:r w:rsidRPr="00F10032">
        <w:rPr>
          <w:rFonts w:ascii="Times New Roman" w:hAnsi="Times New Roman" w:cs="Times New Roman"/>
          <w:sz w:val="24"/>
          <w:szCs w:val="24"/>
          <w:lang w:val="en-US"/>
        </w:rPr>
        <w: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minutes at 2ºC.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rsidR="00535680" w:rsidRPr="00F10032" w:rsidRDefault="00535680" w:rsidP="00CD02D3">
      <w:pPr>
        <w:spacing w:line="360" w:lineRule="auto"/>
        <w:ind w:firstLine="360"/>
        <w:jc w:val="both"/>
        <w:rPr>
          <w:rFonts w:ascii="Times New Roman" w:hAnsi="Times New Roman" w:cs="Times New Roman"/>
          <w:sz w:val="24"/>
          <w:szCs w:val="24"/>
          <w:lang w:val="en-US"/>
        </w:rPr>
      </w:pPr>
    </w:p>
    <w:p w:rsidR="00B452CE" w:rsidRDefault="00FA5346"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Antioxidant enzyme activities</w:t>
      </w:r>
    </w:p>
    <w:p w:rsidR="00AA3862" w:rsidRDefault="00AA3862" w:rsidP="00AA3862">
      <w:pPr>
        <w:pStyle w:val="PargrafodaLista"/>
        <w:spacing w:line="360" w:lineRule="auto"/>
        <w:rPr>
          <w:rFonts w:ascii="Times New Roman" w:hAnsi="Times New Roman" w:cs="Times New Roman"/>
          <w:b/>
          <w:sz w:val="24"/>
          <w:szCs w:val="24"/>
          <w:lang w:val="en-US"/>
        </w:rPr>
      </w:pPr>
    </w:p>
    <w:p w:rsidR="00075DC7" w:rsidRDefault="00FA5346" w:rsidP="00075DC7">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The enzymatic activities</w:t>
      </w:r>
      <w:r w:rsidRPr="00535680">
        <w:rPr>
          <w:rFonts w:ascii="Times New Roman" w:hAnsi="Times New Roman" w:cs="Times New Roman"/>
          <w:sz w:val="24"/>
          <w:szCs w:val="24"/>
          <w:lang w:val="en-US"/>
        </w:rPr>
        <w:t xml:space="preserve"> of the CAT (BEUTLER, 1975), GPx (SIES et al., 1979), GST (KEEN; HABIG; JAKOBY, 1976), and GR (CARLBERG; MANNERVIK, 1985), as well as the TBARS (ALMEIDA et al., 2004), and total protein levels (BRADFORD, 1976) were determined spectrophotometrically in the homogenates of each studied tissue</w:t>
      </w:r>
      <w:r>
        <w:rPr>
          <w:rFonts w:ascii="Times New Roman" w:hAnsi="Times New Roman" w:cs="Times New Roman"/>
          <w:sz w:val="24"/>
          <w:szCs w:val="24"/>
          <w:lang w:val="en-US"/>
        </w:rPr>
        <w:t>.</w:t>
      </w:r>
    </w:p>
    <w:p w:rsidR="00980EEA" w:rsidRDefault="00FA5346"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 </w:t>
      </w:r>
      <w:r w:rsidRPr="00535680">
        <w:rPr>
          <w:rFonts w:ascii="Times New Roman" w:hAnsi="Times New Roman" w:cs="Times New Roman"/>
          <w:b/>
          <w:sz w:val="24"/>
          <w:szCs w:val="24"/>
          <w:lang w:val="en-US"/>
        </w:rPr>
        <w:t>Statistical analyses</w:t>
      </w:r>
    </w:p>
    <w:p w:rsidR="00AA3862" w:rsidRPr="00535680" w:rsidRDefault="00AA3862" w:rsidP="00AA3862">
      <w:pPr>
        <w:pStyle w:val="PargrafodaLista"/>
        <w:spacing w:line="360" w:lineRule="auto"/>
        <w:rPr>
          <w:rFonts w:ascii="Times New Roman" w:hAnsi="Times New Roman" w:cs="Times New Roman"/>
          <w:b/>
          <w:sz w:val="24"/>
          <w:szCs w:val="24"/>
          <w:lang w:val="en-US"/>
        </w:rPr>
      </w:pPr>
    </w:p>
    <w:p w:rsidR="00082F7A" w:rsidRPr="00535680" w:rsidRDefault="00FA5346"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Statistical analysis was performed on groups of five animals using Statistica 12.0 software (StatSoft Inc., Tulsa, OK, USA). In contrast, graphs were performed using GraphPad Prism version 5.01 for Windows (GraphPad Software, La Jolla, CA, USA). Normal Probability Plots of Residuals evaluated the normality of the data, and some data were 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evaluated biomarkers (CAT, GPx, GST,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rsidR="009B1A31" w:rsidRPr="00535680" w:rsidRDefault="00FA5346"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w:t>
      </w:r>
      <w:r w:rsidR="00440D21">
        <w:rPr>
          <w:rFonts w:ascii="Times New Roman" w:hAnsi="Times New Roman" w:cs="Times New Roman"/>
          <w:sz w:val="24"/>
          <w:szCs w:val="24"/>
          <w:lang w:val="en-US"/>
        </w:rPr>
        <w:t>pplied</w:t>
      </w:r>
      <w:r w:rsidRPr="00535680">
        <w:rPr>
          <w:rFonts w:ascii="Times New Roman" w:hAnsi="Times New Roman" w:cs="Times New Roman"/>
          <w:sz w:val="24"/>
          <w:szCs w:val="24"/>
          <w:lang w:val="en-US"/>
        </w:rPr>
        <w:t xml:space="preserve"> the Bonferroni post hoc test. Data were expressed as mean ± standard error of their biological values' mean (SEM), and we considered P &lt; 0.05 statistically significant.</w:t>
      </w:r>
    </w:p>
    <w:p w:rsidR="00D14782" w:rsidRPr="00535680" w:rsidRDefault="00D14782" w:rsidP="00082F7A">
      <w:pPr>
        <w:spacing w:line="360" w:lineRule="auto"/>
        <w:ind w:firstLine="360"/>
        <w:jc w:val="both"/>
        <w:rPr>
          <w:rFonts w:ascii="Times New Roman" w:hAnsi="Times New Roman" w:cs="Times New Roman"/>
          <w:sz w:val="24"/>
          <w:szCs w:val="24"/>
          <w:lang w:val="en-US"/>
        </w:rPr>
      </w:pPr>
    </w:p>
    <w:p w:rsidR="00132BEE" w:rsidRDefault="00FA5346"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rsidR="00AA3862" w:rsidRDefault="00AA3862" w:rsidP="00AA3862">
      <w:pPr>
        <w:pStyle w:val="PargrafodaLista"/>
        <w:spacing w:line="360" w:lineRule="auto"/>
        <w:rPr>
          <w:rFonts w:ascii="Times New Roman" w:hAnsi="Times New Roman" w:cs="Times New Roman"/>
          <w:b/>
          <w:sz w:val="24"/>
          <w:szCs w:val="24"/>
          <w:lang w:val="en-US"/>
        </w:rPr>
      </w:pPr>
    </w:p>
    <w:p w:rsidR="00032243" w:rsidRDefault="00FA5346"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 xml:space="preserve">Oxidative biomarkers showed different responses in the liver, stomach, </w:t>
      </w:r>
      <w:r w:rsidR="00976281">
        <w:rPr>
          <w:rFonts w:ascii="Times New Roman" w:hAnsi="Times New Roman" w:cs="Times New Roman"/>
          <w:sz w:val="24"/>
          <w:szCs w:val="24"/>
          <w:lang w:val="en-US"/>
        </w:rPr>
        <w:t>gills, and muscle</w:t>
      </w:r>
      <w:r w:rsidRPr="00D17944">
        <w:rPr>
          <w:rFonts w:ascii="Times New Roman" w:hAnsi="Times New Roman" w:cs="Times New Roman"/>
          <w:sz w:val="24"/>
          <w:szCs w:val="24"/>
          <w:lang w:val="en-US"/>
        </w:rPr>
        <w: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We evaluated the effects of As(III) and (V) concentrations and exposure period, as well as their interaction effects 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rsidR="004251EE" w:rsidRDefault="004251EE" w:rsidP="00D17944">
      <w:pPr>
        <w:spacing w:line="360" w:lineRule="auto"/>
        <w:ind w:firstLine="360"/>
        <w:jc w:val="both"/>
        <w:rPr>
          <w:rFonts w:ascii="Times New Roman" w:hAnsi="Times New Roman" w:cs="Times New Roman"/>
          <w:sz w:val="24"/>
          <w:szCs w:val="24"/>
          <w:lang w:val="en-US"/>
        </w:rPr>
      </w:pPr>
    </w:p>
    <w:p w:rsidR="00032243" w:rsidRDefault="00FA5346" w:rsidP="00732E5E">
      <w:pPr>
        <w:pStyle w:val="PargrafodaLista"/>
        <w:numPr>
          <w:ilvl w:val="1"/>
          <w:numId w:val="1"/>
        </w:numPr>
        <w:spacing w:line="360" w:lineRule="auto"/>
        <w:jc w:val="both"/>
        <w:rPr>
          <w:rFonts w:ascii="Times New Roman" w:hAnsi="Times New Roman" w:cs="Times New Roman"/>
          <w:b/>
          <w:sz w:val="24"/>
          <w:szCs w:val="24"/>
          <w:lang w:val="en-US"/>
        </w:rPr>
      </w:pPr>
      <w:r w:rsidRPr="00732E5E">
        <w:rPr>
          <w:rFonts w:ascii="Times New Roman" w:hAnsi="Times New Roman" w:cs="Times New Roman"/>
          <w:b/>
          <w:sz w:val="24"/>
          <w:szCs w:val="24"/>
          <w:lang w:val="en-US"/>
        </w:rPr>
        <w:t xml:space="preserve"> </w:t>
      </w:r>
      <w:r w:rsidR="006769B2" w:rsidRPr="00732E5E">
        <w:rPr>
          <w:rFonts w:ascii="Times New Roman" w:hAnsi="Times New Roman" w:cs="Times New Roman"/>
          <w:b/>
          <w:sz w:val="24"/>
          <w:szCs w:val="24"/>
          <w:lang w:val="en-US"/>
        </w:rPr>
        <w:t>Treatment effect</w:t>
      </w:r>
      <w:r w:rsidR="0007787F" w:rsidRPr="00732E5E">
        <w:rPr>
          <w:rFonts w:ascii="Times New Roman" w:hAnsi="Times New Roman" w:cs="Times New Roman"/>
          <w:b/>
          <w:sz w:val="24"/>
          <w:szCs w:val="24"/>
          <w:lang w:val="en-US"/>
        </w:rPr>
        <w:t>s</w:t>
      </w:r>
    </w:p>
    <w:p w:rsidR="00AA3862" w:rsidRPr="00732E5E" w:rsidRDefault="00AA3862" w:rsidP="00AA3862">
      <w:pPr>
        <w:pStyle w:val="PargrafodaLista"/>
        <w:spacing w:line="360" w:lineRule="auto"/>
        <w:jc w:val="both"/>
        <w:rPr>
          <w:rFonts w:ascii="Times New Roman" w:hAnsi="Times New Roman" w:cs="Times New Roman"/>
          <w:b/>
          <w:sz w:val="24"/>
          <w:szCs w:val="24"/>
          <w:lang w:val="en-US"/>
        </w:rPr>
      </w:pPr>
    </w:p>
    <w:p w:rsidR="00032243" w:rsidRDefault="00FA5346" w:rsidP="00732E5E">
      <w:pPr>
        <w:spacing w:line="360" w:lineRule="auto"/>
        <w:ind w:firstLine="360"/>
        <w:jc w:val="both"/>
        <w:rPr>
          <w:rFonts w:ascii="Times New Roman" w:hAnsi="Times New Roman" w:cs="Times New Roman"/>
          <w:sz w:val="24"/>
          <w:szCs w:val="24"/>
          <w:lang w:val="en-US"/>
        </w:rPr>
      </w:pPr>
      <w:bookmarkStart w:id="1" w:name="OLE_LINK1"/>
      <w:r w:rsidRPr="004165FB">
        <w:rPr>
          <w:rFonts w:ascii="Times New Roman" w:hAnsi="Times New Roman" w:cs="Times New Roman"/>
          <w:sz w:val="24"/>
          <w:szCs w:val="24"/>
          <w:lang w:val="en-US"/>
        </w:rPr>
        <w:t xml:space="preserve">The treatments with both As species caused an enzymatic inhibition pattern of the evaluated antioxidants. Such a pattern was more pronounced in the stomach and the </w:t>
      </w:r>
      <w:r w:rsidR="00F647E8">
        <w:rPr>
          <w:rFonts w:ascii="Times New Roman" w:hAnsi="Times New Roman" w:cs="Times New Roman"/>
          <w:sz w:val="24"/>
          <w:szCs w:val="24"/>
          <w:lang w:val="en-US"/>
        </w:rPr>
        <w:t>muscle</w:t>
      </w:r>
      <w:r w:rsidRPr="004165FB">
        <w:rPr>
          <w:rFonts w:ascii="Times New Roman" w:hAnsi="Times New Roman" w:cs="Times New Roman"/>
          <w:sz w:val="24"/>
          <w:szCs w:val="24"/>
          <w:lang w:val="en-US"/>
        </w:rPr>
        <w: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1"/>
    <w:p w:rsidR="00013B60" w:rsidRDefault="00FA5346"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lastRenderedPageBreak/>
        <w:t>Liver</w:t>
      </w:r>
    </w:p>
    <w:p w:rsidR="00AA3862" w:rsidRPr="004165FB" w:rsidRDefault="00AA3862" w:rsidP="00AA3862">
      <w:pPr>
        <w:pStyle w:val="PargrafodaLista"/>
        <w:spacing w:line="360" w:lineRule="auto"/>
        <w:ind w:left="1080"/>
        <w:jc w:val="both"/>
        <w:rPr>
          <w:rFonts w:ascii="Times New Roman" w:hAnsi="Times New Roman" w:cs="Times New Roman"/>
          <w:b/>
          <w:i/>
          <w:sz w:val="24"/>
          <w:szCs w:val="24"/>
          <w:lang w:val="en-US"/>
        </w:rPr>
      </w:pPr>
    </w:p>
    <w:p w:rsidR="00032243" w:rsidRDefault="00FA5346"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concentrations compared to the tilapia of the control group (Figure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rsidR="00C95B4F" w:rsidRDefault="00C95B4F" w:rsidP="00013B60">
      <w:pPr>
        <w:spacing w:line="360" w:lineRule="auto"/>
        <w:ind w:firstLine="360"/>
        <w:jc w:val="both"/>
        <w:rPr>
          <w:rFonts w:ascii="Times New Roman" w:hAnsi="Times New Roman" w:cs="Times New Roman"/>
          <w:sz w:val="24"/>
          <w:szCs w:val="24"/>
          <w:lang w:val="en-US"/>
        </w:rPr>
      </w:pPr>
    </w:p>
    <w:p w:rsidR="00C95B4F" w:rsidRPr="00A01483" w:rsidRDefault="00FA5346" w:rsidP="00C95B4F">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C73D9B" w:rsidTr="00EB4404">
        <w:trPr>
          <w:trHeight w:val="3392"/>
          <w:jc w:val="center"/>
        </w:trPr>
        <w:tc>
          <w:tcPr>
            <w:tcW w:w="4919" w:type="dxa"/>
          </w:tcPr>
          <w:p w:rsidR="00C95B4F"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C95B4F" w:rsidRPr="00A01483" w:rsidRDefault="00FA5346"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367054" cy="2147777"/>
                          </a:xfrm>
                          <a:prstGeom prst="rect">
                            <a:avLst/>
                          </a:prstGeom>
                          <a:noFill/>
                          <a:ln>
                            <a:noFill/>
                          </a:ln>
                        </pic:spPr>
                      </pic:pic>
                    </a:graphicData>
                  </a:graphic>
                </wp:inline>
              </w:drawing>
            </w:r>
          </w:p>
        </w:tc>
        <w:tc>
          <w:tcPr>
            <w:tcW w:w="4946" w:type="dxa"/>
          </w:tcPr>
          <w:p w:rsidR="00C95B4F"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rsidR="00C95B4F" w:rsidRPr="00A01483" w:rsidRDefault="00FA5346"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381693" cy="2122187"/>
                          </a:xfrm>
                          <a:prstGeom prst="rect">
                            <a:avLst/>
                          </a:prstGeom>
                          <a:noFill/>
                          <a:ln>
                            <a:noFill/>
                          </a:ln>
                        </pic:spPr>
                      </pic:pic>
                    </a:graphicData>
                  </a:graphic>
                </wp:inline>
              </w:drawing>
            </w:r>
          </w:p>
        </w:tc>
      </w:tr>
      <w:tr w:rsidR="00C73D9B" w:rsidTr="00EB4404">
        <w:trPr>
          <w:trHeight w:val="3273"/>
          <w:jc w:val="center"/>
        </w:trPr>
        <w:tc>
          <w:tcPr>
            <w:tcW w:w="4919" w:type="dxa"/>
          </w:tcPr>
          <w:p w:rsidR="00C95B4F"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rsidR="00C95B4F" w:rsidRPr="00A01483" w:rsidRDefault="00FA5346" w:rsidP="00EB4404">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3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2482" cy="2145717"/>
                          </a:xfrm>
                          <a:prstGeom prst="rect">
                            <a:avLst/>
                          </a:prstGeom>
                          <a:noFill/>
                          <a:ln>
                            <a:noFill/>
                          </a:ln>
                        </pic:spPr>
                      </pic:pic>
                    </a:graphicData>
                  </a:graphic>
                </wp:inline>
              </w:drawing>
            </w:r>
          </w:p>
        </w:tc>
        <w:tc>
          <w:tcPr>
            <w:tcW w:w="4946" w:type="dxa"/>
          </w:tcPr>
          <w:p w:rsidR="00C95B4F"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rsidR="00C95B4F" w:rsidRPr="00A01483" w:rsidRDefault="00FA5346" w:rsidP="00EB4404">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466892" cy="2210342"/>
                          </a:xfrm>
                          <a:prstGeom prst="rect">
                            <a:avLst/>
                          </a:prstGeom>
                          <a:noFill/>
                          <a:ln>
                            <a:noFill/>
                          </a:ln>
                        </pic:spPr>
                      </pic:pic>
                    </a:graphicData>
                  </a:graphic>
                </wp:inline>
              </w:drawing>
            </w:r>
          </w:p>
        </w:tc>
      </w:tr>
      <w:tr w:rsidR="00C73D9B" w:rsidTr="00EB4404">
        <w:trPr>
          <w:trHeight w:val="3562"/>
          <w:jc w:val="center"/>
        </w:trPr>
        <w:tc>
          <w:tcPr>
            <w:tcW w:w="9866" w:type="dxa"/>
            <w:gridSpan w:val="2"/>
          </w:tcPr>
          <w:p w:rsidR="00C95B4F" w:rsidRDefault="00FA5346"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lastRenderedPageBreak/>
              <w:t>E)</w:t>
            </w:r>
          </w:p>
          <w:p w:rsidR="00C95B4F" w:rsidRPr="00C84F69" w:rsidRDefault="00FA5346" w:rsidP="00C84F69">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408101" cy="2341037"/>
                          </a:xfrm>
                          <a:prstGeom prst="rect">
                            <a:avLst/>
                          </a:prstGeom>
                          <a:noFill/>
                          <a:ln>
                            <a:noFill/>
                          </a:ln>
                        </pic:spPr>
                      </pic:pic>
                    </a:graphicData>
                  </a:graphic>
                </wp:inline>
              </w:drawing>
            </w:r>
          </w:p>
        </w:tc>
      </w:tr>
    </w:tbl>
    <w:p w:rsidR="00C95B4F" w:rsidRPr="002133CE" w:rsidRDefault="00FA5346"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rsidR="00C95B4F" w:rsidRPr="002133CE" w:rsidRDefault="00FA5346"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C95B4F" w:rsidRPr="002133CE" w:rsidRDefault="00FA5346" w:rsidP="00C95B4F">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C95B4F" w:rsidRDefault="00C95B4F" w:rsidP="00013B60">
      <w:pPr>
        <w:spacing w:line="360" w:lineRule="auto"/>
        <w:ind w:firstLine="360"/>
        <w:jc w:val="both"/>
        <w:rPr>
          <w:rFonts w:ascii="Times New Roman" w:hAnsi="Times New Roman" w:cs="Times New Roman"/>
          <w:sz w:val="24"/>
          <w:szCs w:val="24"/>
          <w:lang w:val="en-US"/>
        </w:rPr>
      </w:pPr>
    </w:p>
    <w:p w:rsidR="00A65590" w:rsidRDefault="00FA5346"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rsidR="00AA3862" w:rsidRPr="006D0E60" w:rsidRDefault="00AA3862" w:rsidP="00AA3862">
      <w:pPr>
        <w:pStyle w:val="PargrafodaLista"/>
        <w:spacing w:line="360" w:lineRule="auto"/>
        <w:ind w:left="1080"/>
        <w:jc w:val="both"/>
        <w:rPr>
          <w:rFonts w:ascii="Times New Roman" w:hAnsi="Times New Roman" w:cs="Times New Roman"/>
          <w:b/>
          <w:i/>
          <w:sz w:val="24"/>
          <w:szCs w:val="24"/>
          <w:lang w:val="en-US"/>
        </w:rPr>
      </w:pPr>
    </w:p>
    <w:p w:rsidR="007658AD" w:rsidRDefault="00FA5346" w:rsidP="007658AD">
      <w:pPr>
        <w:spacing w:line="360" w:lineRule="auto"/>
        <w:ind w:firstLine="360"/>
        <w:jc w:val="both"/>
        <w:rPr>
          <w:rFonts w:ascii="Times New Roman" w:hAnsi="Times New Roman" w:cs="Times New Roman"/>
          <w:sz w:val="24"/>
          <w:szCs w:val="24"/>
          <w:lang w:val="en-US"/>
        </w:rPr>
      </w:pPr>
      <w:r w:rsidRPr="007658AD">
        <w:rPr>
          <w:rFonts w:ascii="Times New Roman" w:hAnsi="Times New Roman" w:cs="Times New Roman"/>
          <w:sz w:val="24"/>
          <w:szCs w:val="24"/>
          <w:lang w:val="en-US"/>
        </w:rPr>
        <w:t>We observed the same pattern obtained in the liver, with a decrease in the enzymatic activities of the biomarkers, regardless of the concentration tested. It got lower levels of CAT, GPx, GST, and GR in the groups of tilapia exposed to the concentrations of 5 and 10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80530C">
        <w:rPr>
          <w:rFonts w:ascii="Times New Roman" w:hAnsi="Times New Roman" w:cs="Times New Roman"/>
          <w:sz w:val="24"/>
          <w:szCs w:val="24"/>
          <w:vertAlign w:val="superscript"/>
          <w:lang w:val="en-US"/>
        </w:rPr>
        <w:t>-1</w:t>
      </w:r>
      <w:r w:rsidRPr="007658AD">
        <w:rPr>
          <w:rFonts w:ascii="Times New Roman" w:hAnsi="Times New Roman" w:cs="Times New Roman"/>
          <w:sz w:val="24"/>
          <w:szCs w:val="24"/>
          <w:lang w:val="en-US"/>
        </w:rPr>
        <w:t xml:space="preserve"> compared to the control group.</w:t>
      </w:r>
    </w:p>
    <w:p w:rsidR="00AD3B88" w:rsidRDefault="00AD3B88" w:rsidP="00A65590">
      <w:pPr>
        <w:spacing w:line="360" w:lineRule="auto"/>
        <w:ind w:firstLine="360"/>
        <w:jc w:val="both"/>
        <w:rPr>
          <w:rFonts w:ascii="Times New Roman" w:hAnsi="Times New Roman" w:cs="Times New Roman"/>
          <w:sz w:val="24"/>
          <w:szCs w:val="24"/>
          <w:lang w:val="en-US"/>
        </w:rPr>
      </w:pPr>
    </w:p>
    <w:p w:rsidR="0080530C" w:rsidRDefault="0080530C"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C84F69" w:rsidRDefault="00C84F69" w:rsidP="00A65590">
      <w:pPr>
        <w:spacing w:line="360" w:lineRule="auto"/>
        <w:ind w:firstLine="360"/>
        <w:jc w:val="both"/>
        <w:rPr>
          <w:rFonts w:ascii="Times New Roman" w:hAnsi="Times New Roman" w:cs="Times New Roman"/>
          <w:sz w:val="24"/>
          <w:szCs w:val="24"/>
          <w:lang w:val="en-US"/>
        </w:rPr>
      </w:pPr>
    </w:p>
    <w:p w:rsidR="00AD3B88" w:rsidRPr="00A65590" w:rsidRDefault="00FA5346" w:rsidP="00AD3B88">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C73D9B" w:rsidTr="00EB4404">
        <w:trPr>
          <w:trHeight w:val="3665"/>
          <w:jc w:val="center"/>
        </w:trPr>
        <w:tc>
          <w:tcPr>
            <w:tcW w:w="5055"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AD3B88" w:rsidRDefault="00FA5346" w:rsidP="00EB4404">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396069" cy="2087543"/>
                          </a:xfrm>
                          <a:prstGeom prst="rect">
                            <a:avLst/>
                          </a:prstGeom>
                          <a:noFill/>
                          <a:ln>
                            <a:noFill/>
                          </a:ln>
                        </pic:spPr>
                      </pic:pic>
                    </a:graphicData>
                  </a:graphic>
                </wp:inline>
              </w:drawing>
            </w:r>
          </w:p>
          <w:p w:rsidR="00AD3B88" w:rsidRPr="00A65590" w:rsidRDefault="00AD3B88" w:rsidP="00EB4404">
            <w:pPr>
              <w:spacing w:line="360" w:lineRule="auto"/>
              <w:jc w:val="center"/>
              <w:rPr>
                <w:rFonts w:ascii="Times New Roman" w:hAnsi="Times New Roman" w:cs="Times New Roman"/>
                <w:b/>
                <w:sz w:val="24"/>
                <w:szCs w:val="24"/>
                <w:lang w:val="en-US"/>
              </w:rPr>
            </w:pPr>
          </w:p>
        </w:tc>
        <w:tc>
          <w:tcPr>
            <w:tcW w:w="4988" w:type="dxa"/>
          </w:tcPr>
          <w:p w:rsidR="00AD3B88"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rsidR="00AD3B88" w:rsidRPr="00A65590" w:rsidRDefault="00FA5346"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397733" cy="2155796"/>
                          </a:xfrm>
                          <a:prstGeom prst="rect">
                            <a:avLst/>
                          </a:prstGeom>
                          <a:noFill/>
                          <a:ln>
                            <a:noFill/>
                          </a:ln>
                        </pic:spPr>
                      </pic:pic>
                    </a:graphicData>
                  </a:graphic>
                </wp:inline>
              </w:drawing>
            </w:r>
          </w:p>
        </w:tc>
      </w:tr>
      <w:tr w:rsidR="00C73D9B" w:rsidTr="00EB4404">
        <w:trPr>
          <w:trHeight w:val="461"/>
          <w:jc w:val="center"/>
        </w:trPr>
        <w:tc>
          <w:tcPr>
            <w:tcW w:w="5055"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AD3B88" w:rsidRPr="00A65590" w:rsidRDefault="00FA5346" w:rsidP="00EB4404">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411830" cy="2174694"/>
                          </a:xfrm>
                          <a:prstGeom prst="rect">
                            <a:avLst/>
                          </a:prstGeom>
                          <a:noFill/>
                          <a:ln>
                            <a:noFill/>
                          </a:ln>
                        </pic:spPr>
                      </pic:pic>
                    </a:graphicData>
                  </a:graphic>
                </wp:inline>
              </w:drawing>
            </w:r>
          </w:p>
        </w:tc>
        <w:tc>
          <w:tcPr>
            <w:tcW w:w="4988"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rsidR="00AD3B88" w:rsidRPr="00A65590" w:rsidRDefault="00FA5346"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4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459220" cy="2114470"/>
                          </a:xfrm>
                          <a:prstGeom prst="rect">
                            <a:avLst/>
                          </a:prstGeom>
                          <a:noFill/>
                          <a:ln>
                            <a:noFill/>
                          </a:ln>
                        </pic:spPr>
                      </pic:pic>
                    </a:graphicData>
                  </a:graphic>
                </wp:inline>
              </w:drawing>
            </w:r>
          </w:p>
        </w:tc>
      </w:tr>
      <w:tr w:rsidR="00C73D9B" w:rsidTr="00EB4404">
        <w:trPr>
          <w:trHeight w:val="443"/>
          <w:jc w:val="center"/>
        </w:trPr>
        <w:tc>
          <w:tcPr>
            <w:tcW w:w="10043" w:type="dxa"/>
            <w:gridSpan w:val="2"/>
          </w:tcPr>
          <w:p w:rsidR="00AD3B88" w:rsidRDefault="00FA5346"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rsidR="00AD3B88" w:rsidRPr="00A65590" w:rsidRDefault="00FA5346" w:rsidP="00EB4404">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4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357587" cy="2290787"/>
                          </a:xfrm>
                          <a:prstGeom prst="rect">
                            <a:avLst/>
                          </a:prstGeom>
                          <a:noFill/>
                          <a:ln>
                            <a:noFill/>
                          </a:ln>
                        </pic:spPr>
                      </pic:pic>
                    </a:graphicData>
                  </a:graphic>
                </wp:inline>
              </w:drawing>
            </w:r>
          </w:p>
        </w:tc>
      </w:tr>
    </w:tbl>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7249C0" w:rsidRDefault="00FA5346"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lastRenderedPageBreak/>
        <w:t>Gills</w:t>
      </w:r>
    </w:p>
    <w:p w:rsidR="00AA3862" w:rsidRPr="00AA3862" w:rsidRDefault="00AA3862" w:rsidP="00AA3862">
      <w:pPr>
        <w:pStyle w:val="PargrafodaLista"/>
        <w:spacing w:line="360" w:lineRule="auto"/>
        <w:ind w:left="1080"/>
        <w:jc w:val="both"/>
        <w:rPr>
          <w:rFonts w:ascii="Times New Roman" w:hAnsi="Times New Roman" w:cs="Times New Roman"/>
          <w:b/>
          <w:i/>
          <w:sz w:val="24"/>
          <w:szCs w:val="24"/>
          <w:lang w:val="en-US"/>
        </w:rPr>
      </w:pPr>
    </w:p>
    <w:p w:rsidR="00C84F69" w:rsidRDefault="00FA5346" w:rsidP="00C84F69">
      <w:pPr>
        <w:spacing w:before="240" w:line="360" w:lineRule="auto"/>
        <w:ind w:firstLine="360"/>
        <w:jc w:val="both"/>
        <w:rPr>
          <w:rFonts w:ascii="Times New Roman" w:hAnsi="Times New Roman" w:cs="Times New Roman"/>
          <w:sz w:val="24"/>
          <w:szCs w:val="24"/>
          <w:lang w:val="en-US"/>
        </w:rPr>
      </w:pPr>
      <w:r w:rsidRPr="00C84F69">
        <w:rPr>
          <w:rFonts w:ascii="Times New Roman" w:hAnsi="Times New Roman" w:cs="Times New Roman"/>
          <w:sz w:val="24"/>
          <w:szCs w:val="24"/>
          <w:lang w:val="en-US"/>
        </w:rPr>
        <w:t>The same pattern in the liv</w:t>
      </w:r>
      <w:r>
        <w:rPr>
          <w:rFonts w:ascii="Times New Roman" w:hAnsi="Times New Roman" w:cs="Times New Roman"/>
          <w:sz w:val="24"/>
          <w:szCs w:val="24"/>
          <w:lang w:val="en-US"/>
        </w:rPr>
        <w:t>er and stomach was also found</w:t>
      </w:r>
      <w:r w:rsidRPr="00C84F69">
        <w:rPr>
          <w:rFonts w:ascii="Times New Roman" w:hAnsi="Times New Roman" w:cs="Times New Roman"/>
          <w:sz w:val="24"/>
          <w:szCs w:val="24"/>
          <w:lang w:val="en-US"/>
        </w:rPr>
        <w:t xml:space="preserve"> in the gills. Lower levels of CAT, GPx, GST, and GR in the groups of tilapia exposed to the concentration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of As(III) and (V) when compared to the tilapia of the control group were obtained (Figure 3). On the other hand, for TBARS levels, we observed an increase in the groups exposed to As(V) at concentrations of 5 and 10 mg L</w:t>
      </w:r>
      <w:r w:rsidRPr="00C84F69">
        <w:rPr>
          <w:rFonts w:ascii="Times New Roman" w:hAnsi="Times New Roman" w:cs="Times New Roman"/>
          <w:sz w:val="24"/>
          <w:szCs w:val="24"/>
          <w:vertAlign w:val="superscript"/>
          <w:lang w:val="en-US"/>
        </w:rPr>
        <w:t>-1</w:t>
      </w:r>
      <w:r w:rsidRPr="00C84F69">
        <w:rPr>
          <w:rFonts w:ascii="Times New Roman" w:hAnsi="Times New Roman" w:cs="Times New Roman"/>
          <w:sz w:val="24"/>
          <w:szCs w:val="24"/>
          <w:lang w:val="en-US"/>
        </w:rPr>
        <w:t xml:space="preserve"> compared to the control group (p = 0.0003).</w:t>
      </w:r>
    </w:p>
    <w:p w:rsidR="00C84F69" w:rsidRDefault="00C84F69" w:rsidP="00C84F69">
      <w:pPr>
        <w:spacing w:after="0" w:line="360" w:lineRule="auto"/>
        <w:ind w:firstLine="360"/>
        <w:jc w:val="both"/>
        <w:rPr>
          <w:rFonts w:ascii="Times New Roman" w:hAnsi="Times New Roman" w:cs="Times New Roman"/>
          <w:sz w:val="24"/>
          <w:szCs w:val="24"/>
          <w:lang w:val="en-US"/>
        </w:rPr>
      </w:pPr>
    </w:p>
    <w:p w:rsidR="00AD3B88" w:rsidRPr="00B72C3D" w:rsidRDefault="00FA5346" w:rsidP="00C84F69">
      <w:pPr>
        <w:spacing w:before="240"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C73D9B" w:rsidTr="00C84F69">
        <w:trPr>
          <w:trHeight w:val="3883"/>
          <w:jc w:val="center"/>
        </w:trPr>
        <w:tc>
          <w:tcPr>
            <w:tcW w:w="478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AD3B88" w:rsidRPr="007249C0" w:rsidRDefault="00FA5346" w:rsidP="00EB4404">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extent cx="2394286" cy="2169042"/>
                  <wp:effectExtent l="0" t="0" r="6350" b="317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421340" cy="2193551"/>
                          </a:xfrm>
                          <a:prstGeom prst="rect">
                            <a:avLst/>
                          </a:prstGeom>
                          <a:noFill/>
                          <a:ln>
                            <a:noFill/>
                          </a:ln>
                        </pic:spPr>
                      </pic:pic>
                    </a:graphicData>
                  </a:graphic>
                </wp:inline>
              </w:drawing>
            </w:r>
          </w:p>
        </w:tc>
        <w:tc>
          <w:tcPr>
            <w:tcW w:w="493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AD3B88" w:rsidRPr="007249C0" w:rsidRDefault="00FA5346"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extent cx="2347212" cy="21371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369083" cy="2157058"/>
                          </a:xfrm>
                          <a:prstGeom prst="rect">
                            <a:avLst/>
                          </a:prstGeom>
                          <a:noFill/>
                          <a:ln>
                            <a:noFill/>
                          </a:ln>
                        </pic:spPr>
                      </pic:pic>
                    </a:graphicData>
                  </a:graphic>
                </wp:inline>
              </w:drawing>
            </w:r>
          </w:p>
        </w:tc>
      </w:tr>
      <w:tr w:rsidR="00C73D9B" w:rsidTr="00C84F69">
        <w:trPr>
          <w:trHeight w:val="453"/>
          <w:jc w:val="center"/>
        </w:trPr>
        <w:tc>
          <w:tcPr>
            <w:tcW w:w="478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AD3B88" w:rsidRPr="007249C0" w:rsidRDefault="00FA5346" w:rsidP="00AA3862">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extent cx="2541181" cy="2228707"/>
                  <wp:effectExtent l="0" t="0" r="0" b="63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565870" cy="2250360"/>
                          </a:xfrm>
                          <a:prstGeom prst="rect">
                            <a:avLst/>
                          </a:prstGeom>
                          <a:noFill/>
                          <a:ln>
                            <a:noFill/>
                          </a:ln>
                        </pic:spPr>
                      </pic:pic>
                    </a:graphicData>
                  </a:graphic>
                </wp:inline>
              </w:drawing>
            </w:r>
          </w:p>
        </w:tc>
        <w:tc>
          <w:tcPr>
            <w:tcW w:w="4937" w:type="dxa"/>
          </w:tcPr>
          <w:p w:rsidR="00AD3B88" w:rsidRDefault="00FA5346" w:rsidP="00EB4404">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rsidR="00AD3B88" w:rsidRPr="007249C0" w:rsidRDefault="00FA5346" w:rsidP="00EB4404">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extent cx="2498652" cy="227041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550113" cy="2317170"/>
                          </a:xfrm>
                          <a:prstGeom prst="rect">
                            <a:avLst/>
                          </a:prstGeom>
                          <a:noFill/>
                          <a:ln>
                            <a:noFill/>
                          </a:ln>
                        </pic:spPr>
                      </pic:pic>
                    </a:graphicData>
                  </a:graphic>
                </wp:inline>
              </w:drawing>
            </w:r>
          </w:p>
        </w:tc>
      </w:tr>
      <w:tr w:rsidR="00C73D9B" w:rsidTr="00C84F69">
        <w:trPr>
          <w:trHeight w:val="453"/>
          <w:jc w:val="center"/>
        </w:trPr>
        <w:tc>
          <w:tcPr>
            <w:tcW w:w="9724" w:type="dxa"/>
            <w:gridSpan w:val="2"/>
          </w:tcPr>
          <w:p w:rsidR="00AA3862" w:rsidRDefault="00AA3862" w:rsidP="00EB4404">
            <w:pPr>
              <w:spacing w:line="360" w:lineRule="auto"/>
              <w:jc w:val="center"/>
              <w:rPr>
                <w:rFonts w:ascii="Times New Roman" w:hAnsi="Times New Roman" w:cs="Times New Roman"/>
                <w:b/>
                <w:noProof/>
                <w:sz w:val="24"/>
                <w:szCs w:val="24"/>
                <w:lang w:eastAsia="pt-BR"/>
              </w:rPr>
            </w:pPr>
          </w:p>
          <w:p w:rsidR="00AA3862" w:rsidRDefault="00AA3862" w:rsidP="00EB4404">
            <w:pPr>
              <w:spacing w:line="360" w:lineRule="auto"/>
              <w:jc w:val="center"/>
              <w:rPr>
                <w:rFonts w:ascii="Times New Roman" w:hAnsi="Times New Roman" w:cs="Times New Roman"/>
                <w:b/>
                <w:noProof/>
                <w:sz w:val="24"/>
                <w:szCs w:val="24"/>
                <w:lang w:eastAsia="pt-BR"/>
              </w:rPr>
            </w:pPr>
          </w:p>
          <w:p w:rsidR="00AD3B88" w:rsidRDefault="00FA5346" w:rsidP="00EB4404">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lastRenderedPageBreak/>
              <w:t>E)</w:t>
            </w:r>
          </w:p>
          <w:p w:rsidR="00AD3B88" w:rsidRPr="007249C0" w:rsidRDefault="00FA5346" w:rsidP="00EB4404">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605043" cy="2466072"/>
                          </a:xfrm>
                          <a:prstGeom prst="rect">
                            <a:avLst/>
                          </a:prstGeom>
                          <a:noFill/>
                          <a:ln>
                            <a:noFill/>
                          </a:ln>
                        </pic:spPr>
                      </pic:pic>
                    </a:graphicData>
                  </a:graphic>
                </wp:inline>
              </w:drawing>
            </w:r>
          </w:p>
        </w:tc>
      </w:tr>
    </w:tbl>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lastRenderedPageBreak/>
        <w:t>A) CAT; B) GPx; C) GST; D) GR; E) TBARS.</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AD3B88" w:rsidRPr="002133CE" w:rsidRDefault="00FA5346" w:rsidP="00AD3B88">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AD3B88" w:rsidRDefault="00AD3B88" w:rsidP="007249C0">
      <w:pPr>
        <w:spacing w:line="360" w:lineRule="auto"/>
        <w:ind w:firstLine="360"/>
        <w:jc w:val="both"/>
        <w:rPr>
          <w:rFonts w:ascii="Times New Roman" w:hAnsi="Times New Roman" w:cs="Times New Roman"/>
          <w:sz w:val="24"/>
          <w:szCs w:val="24"/>
          <w:lang w:val="en-US"/>
        </w:rPr>
      </w:pPr>
    </w:p>
    <w:p w:rsidR="00E155C2" w:rsidRDefault="00FA5346" w:rsidP="00E155C2">
      <w:pPr>
        <w:pStyle w:val="PargrafodaLista"/>
        <w:numPr>
          <w:ilvl w:val="2"/>
          <w:numId w:val="1"/>
        </w:num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Muscle</w:t>
      </w:r>
    </w:p>
    <w:p w:rsidR="00AA3862" w:rsidRPr="00E155C2" w:rsidRDefault="00AA3862" w:rsidP="00AA3862">
      <w:pPr>
        <w:pStyle w:val="PargrafodaLista"/>
        <w:spacing w:line="360" w:lineRule="auto"/>
        <w:ind w:left="1080"/>
        <w:jc w:val="both"/>
        <w:rPr>
          <w:rFonts w:ascii="Times New Roman" w:hAnsi="Times New Roman" w:cs="Times New Roman"/>
          <w:b/>
          <w:i/>
          <w:sz w:val="24"/>
          <w:szCs w:val="24"/>
          <w:lang w:val="en-US"/>
        </w:rPr>
      </w:pPr>
    </w:p>
    <w:p w:rsidR="00E155C2" w:rsidRPr="00E155C2" w:rsidRDefault="00FA5346" w:rsidP="006B50E9">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pattern of </w:t>
      </w:r>
      <w:r w:rsidR="006769B2" w:rsidRPr="00E155C2">
        <w:rPr>
          <w:rFonts w:ascii="Times New Roman" w:hAnsi="Times New Roman" w:cs="Times New Roman"/>
          <w:sz w:val="24"/>
          <w:szCs w:val="24"/>
          <w:lang w:val="en-US"/>
        </w:rPr>
        <w:t>decreased enzymatic activity of the biomarkers studied</w:t>
      </w:r>
      <w:r>
        <w:rPr>
          <w:rFonts w:ascii="Times New Roman" w:hAnsi="Times New Roman" w:cs="Times New Roman"/>
          <w:sz w:val="24"/>
          <w:szCs w:val="24"/>
          <w:lang w:val="en-US"/>
        </w:rPr>
        <w:t xml:space="preserve"> was also found </w:t>
      </w:r>
      <w:r w:rsidR="006B50E9">
        <w:rPr>
          <w:rFonts w:ascii="Times New Roman" w:hAnsi="Times New Roman" w:cs="Times New Roman"/>
          <w:sz w:val="24"/>
          <w:szCs w:val="24"/>
          <w:lang w:val="en-US"/>
        </w:rPr>
        <w:t xml:space="preserve">in the muscle. </w:t>
      </w:r>
      <w:r w:rsidR="006769B2" w:rsidRPr="00E155C2">
        <w:rPr>
          <w:rFonts w:ascii="Times New Roman" w:hAnsi="Times New Roman" w:cs="Times New Roman"/>
          <w:sz w:val="24"/>
          <w:szCs w:val="24"/>
          <w:lang w:val="en-US"/>
        </w:rPr>
        <w:t>We obtained lower levels of GPx and GST in the groups of tilapia exposed to the concentration of 5 and 10 mg L</w:t>
      </w:r>
      <w:r w:rsidR="006769B2" w:rsidRPr="00E155C2">
        <w:rPr>
          <w:rFonts w:ascii="Times New Roman" w:hAnsi="Times New Roman" w:cs="Times New Roman"/>
          <w:sz w:val="24"/>
          <w:szCs w:val="24"/>
          <w:vertAlign w:val="superscript"/>
          <w:lang w:val="en-US"/>
        </w:rPr>
        <w:t xml:space="preserve">-1 </w:t>
      </w:r>
      <w:r w:rsidR="006769B2" w:rsidRPr="00E155C2">
        <w:rPr>
          <w:rFonts w:ascii="Times New Roman" w:hAnsi="Times New Roman" w:cs="Times New Roman"/>
          <w:sz w:val="24"/>
          <w:szCs w:val="24"/>
          <w:lang w:val="en-US"/>
        </w:rPr>
        <w:t xml:space="preserve">of As(III) and (V) when compared to the tilapia of the control group </w:t>
      </w:r>
      <w:r w:rsidR="006769B2">
        <w:rPr>
          <w:rFonts w:ascii="Times New Roman" w:hAnsi="Times New Roman" w:cs="Times New Roman"/>
          <w:sz w:val="24"/>
          <w:szCs w:val="24"/>
          <w:lang w:val="en-US"/>
        </w:rPr>
        <w:t>(</w:t>
      </w:r>
      <w:r w:rsidR="006769B2" w:rsidRPr="00E155C2">
        <w:rPr>
          <w:rFonts w:ascii="Times New Roman" w:hAnsi="Times New Roman" w:cs="Times New Roman"/>
          <w:sz w:val="24"/>
          <w:szCs w:val="24"/>
          <w:lang w:val="en-US"/>
        </w:rPr>
        <w:t>Figure 4). For CAT, we obtained an increase in enzymatic activity in the group exposed to As(III) at a concentration of 5 mg L</w:t>
      </w:r>
      <w:r w:rsidR="006769B2" w:rsidRPr="007F6A5C">
        <w:rPr>
          <w:rFonts w:ascii="Times New Roman" w:hAnsi="Times New Roman" w:cs="Times New Roman"/>
          <w:sz w:val="24"/>
          <w:szCs w:val="24"/>
          <w:vertAlign w:val="superscript"/>
          <w:lang w:val="en-US"/>
        </w:rPr>
        <w:t>-1</w:t>
      </w:r>
      <w:r w:rsidR="006769B2"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006769B2" w:rsidRPr="00E155C2">
        <w:rPr>
          <w:rFonts w:ascii="Times New Roman" w:hAnsi="Times New Roman" w:cs="Times New Roman"/>
          <w:sz w:val="24"/>
          <w:szCs w:val="24"/>
          <w:lang w:val="en-US"/>
        </w:rPr>
        <w:t>. At the same time, we did not observe an</w:t>
      </w:r>
      <w:r w:rsidR="00E01AF2">
        <w:rPr>
          <w:rFonts w:ascii="Times New Roman" w:hAnsi="Times New Roman" w:cs="Times New Roman"/>
          <w:sz w:val="24"/>
          <w:szCs w:val="24"/>
          <w:lang w:val="en-US"/>
        </w:rPr>
        <w:t xml:space="preserve">y significant treatment effect </w:t>
      </w:r>
      <w:r w:rsidR="006769B2"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006769B2" w:rsidRPr="00E155C2">
        <w:rPr>
          <w:rFonts w:ascii="Times New Roman" w:hAnsi="Times New Roman" w:cs="Times New Roman"/>
          <w:sz w:val="24"/>
          <w:szCs w:val="24"/>
          <w:lang w:val="en-US"/>
        </w:rPr>
        <w:t xml:space="preserve"> for GR. On the other hand, for TBARS levels, we observed an increase in the group exposed to As(V) at the concentration of 5 mg L</w:t>
      </w:r>
      <w:r w:rsidR="006769B2" w:rsidRPr="00E155C2">
        <w:rPr>
          <w:rFonts w:ascii="Times New Roman" w:hAnsi="Times New Roman" w:cs="Times New Roman"/>
          <w:sz w:val="24"/>
          <w:szCs w:val="24"/>
          <w:vertAlign w:val="superscript"/>
          <w:lang w:val="en-US"/>
        </w:rPr>
        <w:t>-1</w:t>
      </w:r>
      <w:r w:rsidR="006769B2"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006769B2" w:rsidRPr="00E155C2">
        <w:rPr>
          <w:rFonts w:ascii="Times New Roman" w:hAnsi="Times New Roman" w:cs="Times New Roman"/>
          <w:sz w:val="24"/>
          <w:szCs w:val="24"/>
          <w:lang w:val="en-US"/>
        </w:rPr>
        <w:t>.</w:t>
      </w:r>
    </w:p>
    <w:p w:rsidR="00E155C2" w:rsidRPr="00A65590" w:rsidRDefault="00E155C2" w:rsidP="007249C0">
      <w:pPr>
        <w:spacing w:line="360" w:lineRule="auto"/>
        <w:ind w:firstLine="360"/>
        <w:jc w:val="both"/>
        <w:rPr>
          <w:rFonts w:ascii="Times New Roman" w:hAnsi="Times New Roman" w:cs="Times New Roman"/>
          <w:sz w:val="24"/>
          <w:szCs w:val="24"/>
          <w:lang w:val="en-US"/>
        </w:rPr>
      </w:pPr>
    </w:p>
    <w:p w:rsidR="007249C0" w:rsidRPr="00A65590" w:rsidRDefault="007249C0" w:rsidP="00A65590">
      <w:pPr>
        <w:spacing w:line="360" w:lineRule="auto"/>
        <w:ind w:firstLine="360"/>
        <w:jc w:val="both"/>
        <w:rPr>
          <w:rFonts w:ascii="Times New Roman" w:hAnsi="Times New Roman" w:cs="Times New Roman"/>
          <w:sz w:val="24"/>
          <w:szCs w:val="24"/>
          <w:lang w:val="en-US"/>
        </w:rPr>
      </w:pPr>
    </w:p>
    <w:p w:rsidR="00A65590" w:rsidRDefault="00A65590" w:rsidP="00013B60">
      <w:pPr>
        <w:spacing w:line="360" w:lineRule="auto"/>
        <w:ind w:firstLine="360"/>
        <w:jc w:val="both"/>
        <w:rPr>
          <w:rFonts w:ascii="Times New Roman" w:hAnsi="Times New Roman" w:cs="Times New Roman"/>
          <w:sz w:val="24"/>
          <w:szCs w:val="24"/>
          <w:lang w:val="en-US"/>
        </w:rPr>
      </w:pPr>
    </w:p>
    <w:p w:rsidR="00FA5346" w:rsidRDefault="00FA5346" w:rsidP="00013B60">
      <w:pPr>
        <w:spacing w:line="360" w:lineRule="auto"/>
        <w:ind w:firstLine="360"/>
        <w:jc w:val="both"/>
        <w:rPr>
          <w:rFonts w:ascii="Times New Roman" w:hAnsi="Times New Roman" w:cs="Times New Roman"/>
          <w:sz w:val="24"/>
          <w:szCs w:val="24"/>
          <w:lang w:val="en-US"/>
        </w:rPr>
      </w:pPr>
    </w:p>
    <w:p w:rsidR="00A01483" w:rsidRDefault="00A01483" w:rsidP="00013B60">
      <w:pPr>
        <w:spacing w:line="360" w:lineRule="auto"/>
        <w:ind w:firstLine="360"/>
        <w:jc w:val="both"/>
        <w:rPr>
          <w:rFonts w:ascii="Times New Roman" w:hAnsi="Times New Roman" w:cs="Times New Roman"/>
          <w:sz w:val="24"/>
          <w:szCs w:val="24"/>
          <w:lang w:val="en-US"/>
        </w:rPr>
      </w:pPr>
    </w:p>
    <w:p w:rsidR="007249C0" w:rsidRDefault="007249C0" w:rsidP="00013B60">
      <w:pPr>
        <w:spacing w:line="360" w:lineRule="auto"/>
        <w:ind w:firstLine="360"/>
        <w:jc w:val="both"/>
        <w:rPr>
          <w:rFonts w:ascii="Times New Roman" w:hAnsi="Times New Roman" w:cs="Times New Roman"/>
          <w:sz w:val="24"/>
          <w:szCs w:val="24"/>
          <w:lang w:val="en-US"/>
        </w:rPr>
      </w:pPr>
    </w:p>
    <w:p w:rsidR="00B815BD" w:rsidRPr="00E01AF2" w:rsidRDefault="00FA5346"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000C1310">
        <w:rPr>
          <w:rFonts w:ascii="Times New Roman" w:hAnsi="Times New Roman" w:cs="Times New Roman"/>
          <w:b/>
          <w:sz w:val="24"/>
          <w:szCs w:val="24"/>
          <w:lang w:val="en-US"/>
        </w:rPr>
        <w:t xml:space="preserve"> muscle</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C73D9B" w:rsidTr="0032691F">
        <w:trPr>
          <w:trHeight w:val="4113"/>
          <w:jc w:val="center"/>
        </w:trPr>
        <w:tc>
          <w:tcPr>
            <w:tcW w:w="5054" w:type="dxa"/>
          </w:tcPr>
          <w:p w:rsidR="00032243" w:rsidRDefault="00FA5346"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281587" cy="2035774"/>
                          </a:xfrm>
                          <a:prstGeom prst="rect">
                            <a:avLst/>
                          </a:prstGeom>
                          <a:noFill/>
                          <a:ln>
                            <a:noFill/>
                          </a:ln>
                        </pic:spPr>
                      </pic:pic>
                    </a:graphicData>
                  </a:graphic>
                </wp:inline>
              </w:drawing>
            </w:r>
          </w:p>
        </w:tc>
        <w:tc>
          <w:tcPr>
            <w:tcW w:w="5206" w:type="dxa"/>
          </w:tcPr>
          <w:p w:rsidR="00032243" w:rsidRDefault="00FA5346"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294814" cy="2108005"/>
                          </a:xfrm>
                          <a:prstGeom prst="rect">
                            <a:avLst/>
                          </a:prstGeom>
                          <a:noFill/>
                          <a:ln>
                            <a:noFill/>
                          </a:ln>
                        </pic:spPr>
                      </pic:pic>
                    </a:graphicData>
                  </a:graphic>
                </wp:inline>
              </w:drawing>
            </w:r>
          </w:p>
        </w:tc>
      </w:tr>
      <w:tr w:rsidR="00C73D9B" w:rsidTr="0032691F">
        <w:trPr>
          <w:trHeight w:val="478"/>
          <w:jc w:val="center"/>
        </w:trPr>
        <w:tc>
          <w:tcPr>
            <w:tcW w:w="5054" w:type="dxa"/>
          </w:tcPr>
          <w:p w:rsidR="00032243" w:rsidRDefault="00FA5346"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687854" cy="2278039"/>
                          </a:xfrm>
                          <a:prstGeom prst="rect">
                            <a:avLst/>
                          </a:prstGeom>
                          <a:noFill/>
                          <a:ln>
                            <a:noFill/>
                          </a:ln>
                        </pic:spPr>
                      </pic:pic>
                    </a:graphicData>
                  </a:graphic>
                </wp:inline>
              </w:drawing>
            </w:r>
          </w:p>
        </w:tc>
        <w:tc>
          <w:tcPr>
            <w:tcW w:w="5206" w:type="dxa"/>
          </w:tcPr>
          <w:p w:rsidR="00032243" w:rsidRDefault="00FA5346"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rsidR="00E01AF2" w:rsidRPr="00E01AF2" w:rsidRDefault="00FA5346"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729910" cy="2329489"/>
                          </a:xfrm>
                          <a:prstGeom prst="rect">
                            <a:avLst/>
                          </a:prstGeom>
                          <a:noFill/>
                          <a:ln>
                            <a:noFill/>
                          </a:ln>
                        </pic:spPr>
                      </pic:pic>
                    </a:graphicData>
                  </a:graphic>
                </wp:inline>
              </w:drawing>
            </w:r>
          </w:p>
        </w:tc>
      </w:tr>
      <w:tr w:rsidR="00C73D9B" w:rsidTr="0032691F">
        <w:trPr>
          <w:trHeight w:val="478"/>
          <w:jc w:val="center"/>
        </w:trPr>
        <w:tc>
          <w:tcPr>
            <w:tcW w:w="10260" w:type="dxa"/>
            <w:gridSpan w:val="2"/>
          </w:tcPr>
          <w:p w:rsidR="00032243" w:rsidRDefault="00FA5346"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rsidR="00E01AF2" w:rsidRPr="00E01AF2" w:rsidRDefault="00FA5346"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420282" cy="2169822"/>
                          </a:xfrm>
                          <a:prstGeom prst="rect">
                            <a:avLst/>
                          </a:prstGeom>
                          <a:noFill/>
                          <a:ln>
                            <a:noFill/>
                          </a:ln>
                        </pic:spPr>
                      </pic:pic>
                    </a:graphicData>
                  </a:graphic>
                </wp:inline>
              </w:drawing>
            </w:r>
          </w:p>
        </w:tc>
      </w:tr>
    </w:tbl>
    <w:p w:rsidR="00E01AF2" w:rsidRPr="002133CE" w:rsidRDefault="00FA5346"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GPx; C) GST; D) GR; E) TBARS.</w:t>
      </w:r>
    </w:p>
    <w:p w:rsidR="00E01AF2" w:rsidRPr="002133CE" w:rsidRDefault="00FA5346"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n=10.</w:t>
      </w:r>
    </w:p>
    <w:p w:rsidR="00E01AF2" w:rsidRPr="002133CE" w:rsidRDefault="00FA5346" w:rsidP="00E01AF2">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235EE0" w:rsidRPr="00057CFD" w:rsidRDefault="00FA5346"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rsidR="00057CFD" w:rsidRDefault="00057CFD" w:rsidP="00057CFD">
      <w:pPr>
        <w:spacing w:line="360" w:lineRule="auto"/>
        <w:jc w:val="both"/>
        <w:rPr>
          <w:rFonts w:ascii="Times New Roman" w:hAnsi="Times New Roman" w:cs="Times New Roman"/>
          <w:sz w:val="24"/>
          <w:szCs w:val="24"/>
          <w:lang w:val="en-US"/>
        </w:rPr>
      </w:pPr>
    </w:p>
    <w:p w:rsidR="00057CFD" w:rsidRDefault="00FA5346"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exposure periods did not significantly affect the enzymatic activity of the evaluated antioxidants. However, we observed a significant effect on the levels of oxidized molecules in the liver and </w:t>
      </w:r>
      <w:r w:rsidR="00F647E8">
        <w:rPr>
          <w:rFonts w:ascii="Times New Roman" w:hAnsi="Times New Roman" w:cs="Times New Roman"/>
          <w:sz w:val="24"/>
          <w:szCs w:val="24"/>
          <w:lang w:val="en-US"/>
        </w:rPr>
        <w:t>muscle</w:t>
      </w:r>
      <w:r w:rsidRPr="00057CFD">
        <w:rPr>
          <w:rFonts w:ascii="Times New Roman" w:hAnsi="Times New Roman" w:cs="Times New Roman"/>
          <w:sz w:val="24"/>
          <w:szCs w:val="24"/>
          <w:lang w:val="en-US"/>
        </w:rPr>
        <w:t>. The most evid</w:t>
      </w:r>
      <w:r>
        <w:rPr>
          <w:rFonts w:ascii="Times New Roman" w:hAnsi="Times New Roman" w:cs="Times New Roman"/>
          <w:sz w:val="24"/>
          <w:szCs w:val="24"/>
          <w:lang w:val="en-US"/>
        </w:rPr>
        <w:t xml:space="preserve">ent effect was in the </w:t>
      </w:r>
      <w:r w:rsidR="00F647E8">
        <w:rPr>
          <w:rFonts w:ascii="Times New Roman" w:hAnsi="Times New Roman" w:cs="Times New Roman"/>
          <w:sz w:val="24"/>
          <w:szCs w:val="24"/>
          <w:lang w:val="en-US"/>
        </w:rPr>
        <w:t>muscle</w:t>
      </w:r>
      <w:r w:rsidRPr="00057CFD">
        <w:rPr>
          <w:rFonts w:ascii="Times New Roman" w:hAnsi="Times New Roman" w:cs="Times New Roman"/>
          <w:sz w:val="24"/>
          <w:szCs w:val="24"/>
          <w:lang w:val="en-US"/>
        </w:rPr>
        <w:t>. There was a significant increase in TBARS levels on the seventh day compare</w:t>
      </w:r>
      <w:r>
        <w:rPr>
          <w:rFonts w:ascii="Times New Roman" w:hAnsi="Times New Roman" w:cs="Times New Roman"/>
          <w:sz w:val="24"/>
          <w:szCs w:val="24"/>
          <w:lang w:val="en-US"/>
        </w:rPr>
        <w:t>d to the first day of the assay.</w:t>
      </w:r>
    </w:p>
    <w:p w:rsidR="00057CFD" w:rsidRPr="00057CFD" w:rsidRDefault="00057CFD" w:rsidP="00057CFD">
      <w:pPr>
        <w:spacing w:line="360" w:lineRule="auto"/>
        <w:ind w:firstLine="360"/>
        <w:jc w:val="both"/>
        <w:rPr>
          <w:rFonts w:ascii="Times New Roman" w:hAnsi="Times New Roman" w:cs="Times New Roman"/>
          <w:sz w:val="24"/>
          <w:szCs w:val="24"/>
          <w:lang w:val="en-US"/>
        </w:rPr>
      </w:pPr>
    </w:p>
    <w:p w:rsidR="00235EE0" w:rsidRDefault="00FA5346"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rsidR="000C1310" w:rsidRPr="00057CFD" w:rsidRDefault="000C1310" w:rsidP="000C1310">
      <w:pPr>
        <w:pStyle w:val="PargrafodaLista"/>
        <w:spacing w:line="360" w:lineRule="auto"/>
        <w:ind w:left="1080"/>
        <w:jc w:val="both"/>
        <w:rPr>
          <w:rFonts w:ascii="Times New Roman" w:hAnsi="Times New Roman" w:cs="Times New Roman"/>
          <w:b/>
          <w:i/>
          <w:sz w:val="24"/>
          <w:szCs w:val="24"/>
          <w:lang w:val="en-US"/>
        </w:rPr>
      </w:pPr>
    </w:p>
    <w:p w:rsidR="00AB2B12" w:rsidRDefault="00FA5346" w:rsidP="00AB2B1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006769B2" w:rsidRPr="00057CFD">
        <w:rPr>
          <w:rFonts w:ascii="Times New Roman" w:hAnsi="Times New Roman" w:cs="Times New Roman"/>
          <w:sz w:val="24"/>
          <w:szCs w:val="24"/>
          <w:lang w:val="en-US"/>
        </w:rPr>
        <w:t>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2" w:name="OLE_LINK3"/>
      <w:r w:rsidR="00B72D6A">
        <w:rPr>
          <w:rFonts w:ascii="Times New Roman" w:hAnsi="Times New Roman" w:cs="Times New Roman"/>
          <w:sz w:val="24"/>
          <w:szCs w:val="24"/>
          <w:lang w:val="en-US"/>
        </w:rPr>
        <w:t>(</w:t>
      </w:r>
      <w:r w:rsidR="00B72D6A" w:rsidRPr="002133CE">
        <w:rPr>
          <w:rFonts w:ascii="Times New Roman" w:hAnsi="Times New Roman" w:cs="Times New Roman"/>
          <w:sz w:val="24"/>
          <w:szCs w:val="24"/>
          <w:lang w:val="en-US"/>
        </w:rPr>
        <w:t>data not shown)</w:t>
      </w:r>
      <w:r w:rsidR="006769B2" w:rsidRPr="00057CFD">
        <w:rPr>
          <w:rFonts w:ascii="Times New Roman" w:hAnsi="Times New Roman" w:cs="Times New Roman"/>
          <w:sz w:val="24"/>
          <w:szCs w:val="24"/>
          <w:lang w:val="en-US"/>
        </w:rPr>
        <w:t xml:space="preserve">, </w:t>
      </w:r>
      <w:bookmarkEnd w:id="2"/>
      <w:r w:rsidR="006769B2"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006769B2" w:rsidRPr="00057CFD">
        <w:rPr>
          <w:rFonts w:ascii="Times New Roman" w:hAnsi="Times New Roman" w:cs="Times New Roman"/>
          <w:sz w:val="24"/>
          <w:szCs w:val="24"/>
          <w:lang w:val="en-US"/>
        </w:rPr>
        <w:t xml:space="preserve"> significant reduction was observed after 7 days of testing compared to the exposure period of 1 day, in</w:t>
      </w:r>
      <w:r w:rsidR="00F964CC">
        <w:rPr>
          <w:rFonts w:ascii="Times New Roman" w:hAnsi="Times New Roman" w:cs="Times New Roman"/>
          <w:sz w:val="24"/>
          <w:szCs w:val="24"/>
          <w:lang w:val="en-US"/>
        </w:rPr>
        <w:t xml:space="preserve">dependent of </w:t>
      </w:r>
      <w:r w:rsidR="00C514A4">
        <w:rPr>
          <w:rFonts w:ascii="Times New Roman" w:hAnsi="Times New Roman" w:cs="Times New Roman"/>
          <w:sz w:val="24"/>
          <w:szCs w:val="24"/>
          <w:lang w:val="en-US"/>
        </w:rPr>
        <w:t>As(III) and (V)</w:t>
      </w:r>
      <w:r w:rsidR="00F964CC">
        <w:rPr>
          <w:rFonts w:ascii="Times New Roman" w:hAnsi="Times New Roman" w:cs="Times New Roman"/>
          <w:sz w:val="24"/>
          <w:szCs w:val="24"/>
          <w:lang w:val="en-US"/>
        </w:rPr>
        <w:t xml:space="preserve"> concentrations</w:t>
      </w:r>
      <w:r w:rsidR="00C514A4">
        <w:rPr>
          <w:rFonts w:ascii="Times New Roman" w:hAnsi="Times New Roman" w:cs="Times New Roman"/>
          <w:sz w:val="24"/>
          <w:szCs w:val="24"/>
          <w:lang w:val="en-US"/>
        </w:rPr>
        <w:t xml:space="preserve"> (</w:t>
      </w:r>
      <w:r w:rsidR="006769B2"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006769B2" w:rsidRPr="00057CFD">
        <w:rPr>
          <w:rFonts w:ascii="Times New Roman" w:hAnsi="Times New Roman" w:cs="Times New Roman"/>
          <w:sz w:val="24"/>
          <w:szCs w:val="24"/>
          <w:lang w:val="en-US"/>
        </w:rPr>
        <w:t>).</w:t>
      </w:r>
    </w:p>
    <w:p w:rsidR="00235EE0" w:rsidRPr="00057CFD" w:rsidRDefault="00235EE0" w:rsidP="00420BD7">
      <w:pPr>
        <w:spacing w:line="360" w:lineRule="auto"/>
        <w:rPr>
          <w:rFonts w:ascii="Times New Roman" w:hAnsi="Times New Roman" w:cs="Times New Roman"/>
          <w:b/>
          <w:szCs w:val="24"/>
          <w:lang w:val="en-US"/>
        </w:rPr>
      </w:pPr>
    </w:p>
    <w:p w:rsidR="00235EE0" w:rsidRDefault="00FA5346"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rsidR="000C1310" w:rsidRPr="00057CFD" w:rsidRDefault="000C1310" w:rsidP="000C1310">
      <w:pPr>
        <w:pStyle w:val="PargrafodaLista"/>
        <w:spacing w:line="360" w:lineRule="auto"/>
        <w:ind w:left="1080"/>
        <w:jc w:val="both"/>
        <w:rPr>
          <w:rFonts w:ascii="Times New Roman" w:hAnsi="Times New Roman" w:cs="Times New Roman"/>
          <w:b/>
          <w:i/>
          <w:sz w:val="24"/>
          <w:szCs w:val="24"/>
          <w:lang w:val="en-US"/>
        </w:rPr>
      </w:pPr>
    </w:p>
    <w:p w:rsidR="00F24BD2" w:rsidRPr="00C514A4" w:rsidRDefault="00FA5346" w:rsidP="00F24BD2">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057CFD">
        <w:rPr>
          <w:rFonts w:ascii="Times New Roman" w:hAnsi="Times New Roman" w:cs="Times New Roman"/>
          <w:sz w:val="24"/>
          <w:szCs w:val="24"/>
          <w:lang w:val="en-US"/>
        </w:rPr>
        <w:t xml:space="preserve">he exposure periods of 1 and 7 days did not </w:t>
      </w:r>
      <w:r w:rsidR="006769B2" w:rsidRPr="00C514A4">
        <w:rPr>
          <w:rFonts w:ascii="Times New Roman" w:hAnsi="Times New Roman" w:cs="Times New Roman"/>
          <w:sz w:val="24"/>
          <w:szCs w:val="24"/>
          <w:lang w:val="en-US"/>
        </w:rPr>
        <w:t>present significant effects on the enzymatic activities of the studied biomarkers (CAT, GPx, GST, and GR) and the levels of TBARS in the stomach of the tilapia Nile.</w:t>
      </w:r>
    </w:p>
    <w:p w:rsidR="00F24BD2" w:rsidRPr="00C514A4" w:rsidRDefault="00F24BD2" w:rsidP="00F24BD2">
      <w:pPr>
        <w:spacing w:line="360" w:lineRule="auto"/>
        <w:ind w:firstLine="360"/>
        <w:jc w:val="both"/>
        <w:rPr>
          <w:rFonts w:ascii="Times New Roman" w:hAnsi="Times New Roman" w:cs="Times New Roman"/>
          <w:sz w:val="24"/>
          <w:szCs w:val="24"/>
          <w:lang w:val="en-US"/>
        </w:rPr>
      </w:pPr>
    </w:p>
    <w:p w:rsidR="00235EE0" w:rsidRDefault="00FA5346"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rsidR="000C1310" w:rsidRPr="00C514A4" w:rsidRDefault="000C1310" w:rsidP="000C1310">
      <w:pPr>
        <w:pStyle w:val="PargrafodaLista"/>
        <w:spacing w:line="360" w:lineRule="auto"/>
        <w:ind w:left="1080"/>
        <w:jc w:val="both"/>
        <w:rPr>
          <w:rFonts w:ascii="Times New Roman" w:hAnsi="Times New Roman" w:cs="Times New Roman"/>
          <w:b/>
          <w:i/>
          <w:sz w:val="24"/>
          <w:szCs w:val="24"/>
          <w:lang w:val="en-US"/>
        </w:rPr>
      </w:pPr>
    </w:p>
    <w:p w:rsidR="00F964CC" w:rsidRDefault="00FA5346" w:rsidP="00152544">
      <w:pPr>
        <w:spacing w:line="360" w:lineRule="auto"/>
        <w:ind w:firstLine="360"/>
        <w:jc w:val="both"/>
        <w:rPr>
          <w:rFonts w:ascii="Times New Roman" w:hAnsi="Times New Roman" w:cs="Times New Roman"/>
          <w:sz w:val="24"/>
          <w:szCs w:val="24"/>
          <w:lang w:val="en-US"/>
        </w:rPr>
      </w:pPr>
      <w:r w:rsidRPr="00F964CC">
        <w:rPr>
          <w:rFonts w:ascii="Times New Roman" w:hAnsi="Times New Roman" w:cs="Times New Roman"/>
          <w:sz w:val="24"/>
          <w:szCs w:val="24"/>
          <w:lang w:val="en-US"/>
        </w:rPr>
        <w:t>The exposure periods of 1 and 7 days, in general, did not present significant effects on the enzymatic activities of the biomarkers studied in the gills of Nile tilapia (data not shown), except for GPx, which was observed to increase after 7 days of testing compared to 1 day exposure period, independent of As(III) and (V) concentrations (Figure 5-B).</w:t>
      </w:r>
    </w:p>
    <w:p w:rsidR="00420BD7" w:rsidRDefault="00420BD7" w:rsidP="00235EE0">
      <w:pPr>
        <w:spacing w:line="360" w:lineRule="auto"/>
        <w:ind w:firstLine="360"/>
        <w:rPr>
          <w:rFonts w:ascii="Times New Roman" w:hAnsi="Times New Roman" w:cs="Times New Roman"/>
          <w:sz w:val="24"/>
          <w:szCs w:val="24"/>
          <w:lang w:val="en-US"/>
        </w:rPr>
      </w:pPr>
    </w:p>
    <w:p w:rsidR="00235EE0" w:rsidRDefault="00FA5346"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w:t>
      </w:r>
      <w:r w:rsidR="000C1310">
        <w:rPr>
          <w:rFonts w:ascii="Times New Roman" w:hAnsi="Times New Roman" w:cs="Times New Roman"/>
          <w:b/>
          <w:i/>
          <w:sz w:val="24"/>
          <w:szCs w:val="24"/>
          <w:lang w:val="en-US"/>
        </w:rPr>
        <w:t>Muscle</w:t>
      </w:r>
    </w:p>
    <w:p w:rsidR="000C1310" w:rsidRPr="00C514A4" w:rsidRDefault="000C1310" w:rsidP="000C1310">
      <w:pPr>
        <w:pStyle w:val="PargrafodaLista"/>
        <w:spacing w:line="360" w:lineRule="auto"/>
        <w:ind w:left="1080"/>
        <w:jc w:val="both"/>
        <w:rPr>
          <w:rFonts w:ascii="Times New Roman" w:hAnsi="Times New Roman" w:cs="Times New Roman"/>
          <w:b/>
          <w:i/>
          <w:sz w:val="24"/>
          <w:szCs w:val="24"/>
          <w:lang w:val="en-US"/>
        </w:rPr>
      </w:pPr>
    </w:p>
    <w:p w:rsidR="002B14CB" w:rsidRPr="00C514A4" w:rsidRDefault="00FA5346" w:rsidP="001F54BD">
      <w:pPr>
        <w:spacing w:line="360" w:lineRule="auto"/>
        <w:ind w:firstLine="360"/>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6769B2" w:rsidRPr="00C514A4">
        <w:rPr>
          <w:rFonts w:ascii="Times New Roman" w:hAnsi="Times New Roman" w:cs="Times New Roman"/>
          <w:sz w:val="24"/>
          <w:szCs w:val="24"/>
          <w:lang w:val="en-US"/>
        </w:rPr>
        <w:t xml:space="preserve">he exposure periods of 1 and 7 days, in general, did not present significant effects on the enzymatic activities of the biomarkers studied in the </w:t>
      </w:r>
      <w:r w:rsidR="00F647E8">
        <w:rPr>
          <w:rFonts w:ascii="Times New Roman" w:hAnsi="Times New Roman" w:cs="Times New Roman"/>
          <w:sz w:val="24"/>
          <w:szCs w:val="24"/>
          <w:lang w:val="en-US"/>
        </w:rPr>
        <w:t>muscle</w:t>
      </w:r>
      <w:r w:rsidR="006769B2" w:rsidRPr="00C514A4">
        <w:rPr>
          <w:rFonts w:ascii="Times New Roman" w:hAnsi="Times New Roman" w:cs="Times New Roman"/>
          <w:sz w:val="24"/>
          <w:szCs w:val="24"/>
          <w:lang w:val="en-US"/>
        </w:rPr>
        <w:t xml:space="preserve"> of Nile tilapia</w:t>
      </w:r>
      <w:r w:rsidR="00B72D6A">
        <w:rPr>
          <w:rFonts w:ascii="Times New Roman" w:hAnsi="Times New Roman" w:cs="Times New Roman"/>
          <w:sz w:val="24"/>
          <w:szCs w:val="24"/>
          <w:lang w:val="en-US"/>
        </w:rPr>
        <w:t xml:space="preserve"> (</w:t>
      </w:r>
      <w:r w:rsidR="00B72D6A" w:rsidRPr="002133CE">
        <w:rPr>
          <w:rFonts w:ascii="Times New Roman" w:hAnsi="Times New Roman" w:cs="Times New Roman"/>
          <w:sz w:val="24"/>
          <w:szCs w:val="24"/>
          <w:lang w:val="en-US"/>
        </w:rPr>
        <w:t>data not shown)</w:t>
      </w:r>
      <w:r w:rsidR="00B72D6A" w:rsidRPr="00057CFD">
        <w:rPr>
          <w:rFonts w:ascii="Times New Roman" w:hAnsi="Times New Roman" w:cs="Times New Roman"/>
          <w:sz w:val="24"/>
          <w:szCs w:val="24"/>
          <w:lang w:val="en-US"/>
        </w:rPr>
        <w:t>,</w:t>
      </w:r>
      <w:r w:rsidR="006769B2"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006769B2"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w:t>
      </w:r>
      <w:r>
        <w:rPr>
          <w:rFonts w:ascii="Times New Roman" w:hAnsi="Times New Roman" w:cs="Times New Roman"/>
          <w:sz w:val="24"/>
          <w:szCs w:val="24"/>
          <w:lang w:val="en-US"/>
        </w:rPr>
        <w:t>s</w:t>
      </w:r>
      <w:r w:rsidR="00316C46">
        <w:rPr>
          <w:rFonts w:ascii="Times New Roman" w:hAnsi="Times New Roman" w:cs="Times New Roman"/>
          <w:sz w:val="24"/>
          <w:szCs w:val="24"/>
          <w:lang w:val="en-US"/>
        </w:rPr>
        <w:t xml:space="preserve"> (</w:t>
      </w:r>
      <w:r w:rsidR="00420BD7">
        <w:rPr>
          <w:rFonts w:ascii="Times New Roman" w:hAnsi="Times New Roman" w:cs="Times New Roman"/>
          <w:sz w:val="24"/>
          <w:szCs w:val="24"/>
          <w:lang w:val="en-US"/>
        </w:rPr>
        <w:t>Figure 5-C</w:t>
      </w:r>
      <w:r w:rsidR="006769B2" w:rsidRPr="00C514A4">
        <w:rPr>
          <w:rFonts w:ascii="Times New Roman" w:hAnsi="Times New Roman" w:cs="Times New Roman"/>
          <w:sz w:val="24"/>
          <w:szCs w:val="24"/>
          <w:lang w:val="en-US"/>
        </w:rPr>
        <w:t>).</w:t>
      </w:r>
    </w:p>
    <w:p w:rsidR="002B14CB" w:rsidRPr="00C514A4" w:rsidRDefault="002B14CB" w:rsidP="00235EE0">
      <w:pPr>
        <w:spacing w:line="360" w:lineRule="auto"/>
        <w:ind w:left="360"/>
        <w:rPr>
          <w:rFonts w:ascii="Times New Roman" w:hAnsi="Times New Roman" w:cs="Times New Roman"/>
          <w:b/>
          <w:szCs w:val="24"/>
          <w:lang w:val="en-US"/>
        </w:rPr>
      </w:pPr>
    </w:p>
    <w:p w:rsidR="00316C46" w:rsidRDefault="00FA5346"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Pr="00C514A4">
        <w:rPr>
          <w:rFonts w:ascii="Times New Roman" w:hAnsi="Times New Roman" w:cs="Times New Roman"/>
          <w:b/>
          <w:sz w:val="24"/>
          <w:szCs w:val="24"/>
          <w:lang w:val="en-US"/>
        </w:rPr>
        <w:t>on</w:t>
      </w:r>
      <w:r w:rsidRPr="00316C46">
        <w:rPr>
          <w:rFonts w:ascii="Times New Roman" w:hAnsi="Times New Roman" w:cs="Times New Roman"/>
          <w:b/>
          <w:sz w:val="24"/>
          <w:szCs w:val="24"/>
          <w:lang w:val="en-US"/>
        </w:rPr>
        <w:t xml:space="preserve"> antioxidants</w:t>
      </w:r>
      <w:r>
        <w:rPr>
          <w:rFonts w:ascii="Times New Roman" w:hAnsi="Times New Roman" w:cs="Times New Roman"/>
          <w:b/>
          <w:sz w:val="24"/>
          <w:szCs w:val="24"/>
          <w:lang w:val="en-US"/>
        </w:rPr>
        <w:t xml:space="preserve"> in different tissues of </w:t>
      </w:r>
      <w:r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C73D9B" w:rsidTr="00420BD7">
        <w:trPr>
          <w:trHeight w:val="3583"/>
        </w:trPr>
        <w:tc>
          <w:tcPr>
            <w:tcW w:w="4106" w:type="dxa"/>
          </w:tcPr>
          <w:p w:rsidR="00316C46" w:rsidRDefault="00FA53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rsidR="00316C46" w:rsidRDefault="00FA5346"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373057" cy="1983235"/>
                          </a:xfrm>
                          <a:prstGeom prst="rect">
                            <a:avLst/>
                          </a:prstGeom>
                          <a:noFill/>
                          <a:ln>
                            <a:noFill/>
                          </a:ln>
                        </pic:spPr>
                      </pic:pic>
                    </a:graphicData>
                  </a:graphic>
                </wp:inline>
              </w:drawing>
            </w:r>
          </w:p>
        </w:tc>
        <w:tc>
          <w:tcPr>
            <w:tcW w:w="4602" w:type="dxa"/>
          </w:tcPr>
          <w:p w:rsidR="00316C46" w:rsidRDefault="00FA53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rsidR="00316C46" w:rsidRDefault="00FA5346"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399418" cy="1962524"/>
                          </a:xfrm>
                          <a:prstGeom prst="rect">
                            <a:avLst/>
                          </a:prstGeom>
                          <a:noFill/>
                          <a:ln>
                            <a:noFill/>
                          </a:ln>
                        </pic:spPr>
                      </pic:pic>
                    </a:graphicData>
                  </a:graphic>
                </wp:inline>
              </w:drawing>
            </w:r>
          </w:p>
        </w:tc>
      </w:tr>
      <w:tr w:rsidR="00C73D9B" w:rsidTr="00420BD7">
        <w:trPr>
          <w:trHeight w:val="388"/>
        </w:trPr>
        <w:tc>
          <w:tcPr>
            <w:tcW w:w="8708" w:type="dxa"/>
            <w:gridSpan w:val="2"/>
          </w:tcPr>
          <w:p w:rsidR="00316C46" w:rsidRDefault="00FA5346"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rsidR="00316C46" w:rsidRDefault="00FA5346"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5"/>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707612" cy="2210568"/>
                          </a:xfrm>
                          <a:prstGeom prst="rect">
                            <a:avLst/>
                          </a:prstGeom>
                          <a:noFill/>
                          <a:ln>
                            <a:noFill/>
                          </a:ln>
                        </pic:spPr>
                      </pic:pic>
                    </a:graphicData>
                  </a:graphic>
                </wp:inline>
              </w:drawing>
            </w:r>
          </w:p>
        </w:tc>
      </w:tr>
    </w:tbl>
    <w:p w:rsidR="0081240F" w:rsidRPr="002133CE" w:rsidRDefault="00FA5346"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 xml:space="preserve">A) </w:t>
      </w:r>
      <w:r w:rsidR="00316C46" w:rsidRPr="002133CE">
        <w:rPr>
          <w:rFonts w:ascii="Times New Roman" w:hAnsi="Times New Roman" w:cs="Times New Roman"/>
          <w:lang w:val="en-US"/>
        </w:rPr>
        <w:t xml:space="preserve">TBARS levels in </w:t>
      </w:r>
      <w:r w:rsidR="00316C46" w:rsidRPr="002133CE">
        <w:rPr>
          <w:rFonts w:ascii="Times New Roman" w:hAnsi="Times New Roman" w:cs="Times New Roman"/>
          <w:i/>
          <w:lang w:val="en-US"/>
        </w:rPr>
        <w:t>O. niloticus</w:t>
      </w:r>
      <w:r w:rsidR="00316C46" w:rsidRPr="002133CE">
        <w:rPr>
          <w:rFonts w:ascii="Times New Roman" w:hAnsi="Times New Roman" w:cs="Times New Roman"/>
          <w:lang w:val="en-US"/>
        </w:rPr>
        <w:t xml:space="preserve"> liver; B)</w:t>
      </w:r>
      <w:r w:rsidRPr="002133CE">
        <w:rPr>
          <w:rFonts w:ascii="Times New Roman" w:hAnsi="Times New Roman" w:cs="Times New Roman"/>
          <w:lang w:val="en-US"/>
        </w:rPr>
        <w:t xml:space="preserve"> GPx enzymatic activity in </w:t>
      </w:r>
      <w:r w:rsidRPr="002133CE">
        <w:rPr>
          <w:rFonts w:ascii="Times New Roman" w:hAnsi="Times New Roman" w:cs="Times New Roman"/>
          <w:i/>
          <w:lang w:val="en-US"/>
        </w:rPr>
        <w:t>O. niloticus</w:t>
      </w:r>
      <w:r w:rsidRPr="002133CE">
        <w:rPr>
          <w:rFonts w:ascii="Times New Roman" w:hAnsi="Times New Roman" w:cs="Times New Roman"/>
          <w:lang w:val="en-US"/>
        </w:rPr>
        <w:t xml:space="preserve"> gills; C) TBARS levels in </w:t>
      </w:r>
      <w:r w:rsidRPr="002133CE">
        <w:rPr>
          <w:rFonts w:ascii="Times New Roman" w:hAnsi="Times New Roman" w:cs="Times New Roman"/>
          <w:i/>
          <w:lang w:val="en-US"/>
        </w:rPr>
        <w:t>O. niloticus</w:t>
      </w:r>
      <w:r w:rsidR="000C1310">
        <w:rPr>
          <w:rFonts w:ascii="Times New Roman" w:hAnsi="Times New Roman" w:cs="Times New Roman"/>
          <w:lang w:val="en-US"/>
        </w:rPr>
        <w:t xml:space="preserve"> muscle</w:t>
      </w:r>
      <w:r w:rsidR="00420BD7" w:rsidRPr="002133CE">
        <w:rPr>
          <w:rFonts w:ascii="Times New Roman" w:hAnsi="Times New Roman" w:cs="Times New Roman"/>
          <w:lang w:val="en-US"/>
        </w:rPr>
        <w:t>.</w:t>
      </w:r>
    </w:p>
    <w:p w:rsidR="00420BD7" w:rsidRPr="002133CE" w:rsidRDefault="00FA5346"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n=25.</w:t>
      </w:r>
    </w:p>
    <w:p w:rsidR="00420BD7" w:rsidRDefault="00FA5346" w:rsidP="00420BD7">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0C1310" w:rsidRPr="002133CE" w:rsidRDefault="000C1310" w:rsidP="00420BD7">
      <w:pPr>
        <w:pStyle w:val="PargrafodaLista"/>
        <w:spacing w:before="240"/>
        <w:jc w:val="center"/>
        <w:rPr>
          <w:rFonts w:ascii="Times New Roman" w:hAnsi="Times New Roman" w:cs="Times New Roman"/>
          <w:lang w:val="en-US"/>
        </w:rPr>
      </w:pPr>
    </w:p>
    <w:p w:rsidR="00235EE0" w:rsidRDefault="00FA5346"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rsidR="00B179D8" w:rsidRDefault="00B179D8" w:rsidP="00B179D8">
      <w:pPr>
        <w:spacing w:line="360" w:lineRule="auto"/>
        <w:ind w:left="360"/>
        <w:jc w:val="both"/>
        <w:rPr>
          <w:rFonts w:ascii="Times New Roman" w:hAnsi="Times New Roman" w:cs="Times New Roman"/>
          <w:b/>
          <w:sz w:val="24"/>
          <w:szCs w:val="24"/>
          <w:lang w:val="en-US"/>
        </w:rPr>
      </w:pPr>
    </w:p>
    <w:p w:rsidR="00B179D8" w:rsidRDefault="00FA5346"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 xml:space="preserve">The interaction between treatments with both As species and exposure periods did not cause significant effects on the antioxidants studied in the liver, gills, and </w:t>
      </w:r>
      <w:r w:rsidR="00F647E8">
        <w:rPr>
          <w:rFonts w:ascii="Times New Roman" w:hAnsi="Times New Roman" w:cs="Times New Roman"/>
          <w:sz w:val="24"/>
          <w:szCs w:val="24"/>
          <w:lang w:val="en-US"/>
        </w:rPr>
        <w:t>muscle</w:t>
      </w:r>
      <w:r w:rsidRPr="00B179D8">
        <w:rPr>
          <w:rFonts w:ascii="Times New Roman" w:hAnsi="Times New Roman" w:cs="Times New Roman"/>
          <w:sz w:val="24"/>
          <w:szCs w:val="24"/>
          <w:lang w:val="en-US"/>
        </w:rPr>
        <w:t xml:space="preserve">. However, a pattern of enzymatic inhibition for the stomach was observed and increased the levels of oxidized molecules, which was also observed in the </w:t>
      </w:r>
      <w:r w:rsidR="00F647E8">
        <w:rPr>
          <w:rFonts w:ascii="Times New Roman" w:hAnsi="Times New Roman" w:cs="Times New Roman"/>
          <w:sz w:val="24"/>
          <w:szCs w:val="24"/>
          <w:lang w:val="en-US"/>
        </w:rPr>
        <w:t>muscle</w:t>
      </w:r>
      <w:r w:rsidRPr="00B179D8">
        <w:rPr>
          <w:rFonts w:ascii="Times New Roman" w:hAnsi="Times New Roman" w:cs="Times New Roman"/>
          <w:sz w:val="24"/>
          <w:szCs w:val="24"/>
          <w:lang w:val="en-US"/>
        </w:rPr>
        <w:t>.</w:t>
      </w:r>
    </w:p>
    <w:p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rsidR="00235EE0" w:rsidRDefault="00FA5346"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rsidR="000C1310" w:rsidRPr="00316C46" w:rsidRDefault="000C1310" w:rsidP="000C1310">
      <w:pPr>
        <w:pStyle w:val="PargrafodaLista"/>
        <w:spacing w:line="360" w:lineRule="auto"/>
        <w:ind w:left="1080"/>
        <w:jc w:val="both"/>
        <w:rPr>
          <w:rFonts w:ascii="Times New Roman" w:hAnsi="Times New Roman" w:cs="Times New Roman"/>
          <w:b/>
          <w:i/>
          <w:sz w:val="24"/>
          <w:szCs w:val="24"/>
          <w:lang w:val="en-US"/>
        </w:rPr>
      </w:pPr>
    </w:p>
    <w:p w:rsidR="00235EE0" w:rsidRPr="00316C46" w:rsidRDefault="00FA5346" w:rsidP="00543504">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316C46">
        <w:rPr>
          <w:rFonts w:ascii="Times New Roman" w:hAnsi="Times New Roman" w:cs="Times New Roman"/>
          <w:sz w:val="24"/>
          <w:szCs w:val="24"/>
          <w:lang w:val="en-US"/>
        </w:rPr>
        <w:t xml:space="preserve"> and exposure periods did not show significant differences in the studied biomarkers (CAT, GPx, GST, GR, and TBAR</w:t>
      </w:r>
      <w:r w:rsidR="00543504">
        <w:rPr>
          <w:rFonts w:ascii="Times New Roman" w:hAnsi="Times New Roman" w:cs="Times New Roman"/>
          <w:sz w:val="24"/>
          <w:szCs w:val="24"/>
          <w:lang w:val="en-US"/>
        </w:rPr>
        <w:t>S) in the liver of Nile tilapia (</w:t>
      </w:r>
      <w:r w:rsidR="00543504" w:rsidRPr="002133CE">
        <w:rPr>
          <w:rFonts w:ascii="Times New Roman" w:hAnsi="Times New Roman" w:cs="Times New Roman"/>
          <w:sz w:val="24"/>
          <w:szCs w:val="24"/>
          <w:lang w:val="en-US"/>
        </w:rPr>
        <w:t>data not shown)</w:t>
      </w:r>
      <w:r w:rsidR="00543504">
        <w:rPr>
          <w:rFonts w:ascii="Times New Roman" w:hAnsi="Times New Roman" w:cs="Times New Roman"/>
          <w:sz w:val="24"/>
          <w:szCs w:val="24"/>
          <w:lang w:val="en-US"/>
        </w:rPr>
        <w:t>.</w:t>
      </w:r>
    </w:p>
    <w:p w:rsidR="00D8262D" w:rsidRPr="00316C46" w:rsidRDefault="00D8262D" w:rsidP="00235EE0">
      <w:pPr>
        <w:spacing w:line="360" w:lineRule="auto"/>
        <w:ind w:firstLine="360"/>
        <w:rPr>
          <w:rFonts w:ascii="Times New Roman" w:hAnsi="Times New Roman" w:cs="Times New Roman"/>
          <w:sz w:val="24"/>
          <w:szCs w:val="24"/>
          <w:lang w:val="en-US"/>
        </w:rPr>
      </w:pPr>
    </w:p>
    <w:p w:rsidR="00235EE0" w:rsidRDefault="00FA5346"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rsidR="000C1310" w:rsidRPr="00316C46" w:rsidRDefault="000C1310" w:rsidP="000C1310">
      <w:pPr>
        <w:pStyle w:val="PargrafodaLista"/>
        <w:spacing w:line="360" w:lineRule="auto"/>
        <w:ind w:left="1080"/>
        <w:jc w:val="both"/>
        <w:rPr>
          <w:rFonts w:ascii="Times New Roman" w:hAnsi="Times New Roman" w:cs="Times New Roman"/>
          <w:b/>
          <w:i/>
          <w:sz w:val="24"/>
          <w:szCs w:val="24"/>
          <w:lang w:val="en-US"/>
        </w:rPr>
      </w:pPr>
    </w:p>
    <w:p w:rsidR="00235EE0" w:rsidRDefault="00FA5346"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 xml:space="preserve">The interaction effects between As(III) </w:t>
      </w:r>
      <w:r w:rsidR="00923643">
        <w:rPr>
          <w:rFonts w:ascii="Times New Roman" w:hAnsi="Times New Roman" w:cs="Times New Roman"/>
          <w:sz w:val="24"/>
          <w:szCs w:val="24"/>
          <w:lang w:val="en-US"/>
        </w:rPr>
        <w:t>and (V) concentrations</w:t>
      </w:r>
      <w:r w:rsidRPr="00316C46">
        <w:rPr>
          <w:rFonts w:ascii="Times New Roman" w:hAnsi="Times New Roman" w:cs="Times New Roman"/>
          <w:sz w:val="24"/>
          <w:szCs w:val="24"/>
          <w:lang w:val="en-US"/>
        </w:rPr>
        <w:t xml:space="preserve">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We obtained lower levels in the exposed groups for CAT and GR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Default="00923643" w:rsidP="00D8262D">
      <w:pPr>
        <w:spacing w:line="360" w:lineRule="auto"/>
        <w:ind w:firstLine="360"/>
        <w:jc w:val="both"/>
        <w:rPr>
          <w:rFonts w:ascii="Times New Roman" w:hAnsi="Times New Roman" w:cs="Times New Roman"/>
          <w:sz w:val="24"/>
          <w:szCs w:val="24"/>
          <w:lang w:val="en-US"/>
        </w:rPr>
      </w:pPr>
    </w:p>
    <w:p w:rsidR="00923643" w:rsidRPr="00316C46" w:rsidRDefault="00FA5346" w:rsidP="00923643">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6</w:t>
      </w:r>
      <w:r w:rsidRPr="00316C46">
        <w:rPr>
          <w:rFonts w:ascii="Times New Roman" w:hAnsi="Times New Roman" w:cs="Times New Roman"/>
          <w:b/>
          <w:sz w:val="24"/>
          <w:szCs w:val="24"/>
          <w:lang w:val="en-US"/>
        </w:rPr>
        <w:t xml:space="preserve"> – Effect of significant interactions in the stomach of </w:t>
      </w:r>
      <w:r w:rsidRPr="00316C46">
        <w:rPr>
          <w:rFonts w:ascii="Times New Roman" w:hAnsi="Times New Roman" w:cs="Times New Roman"/>
          <w:b/>
          <w:i/>
          <w:sz w:val="24"/>
          <w:szCs w:val="24"/>
          <w:lang w:val="en-US"/>
        </w:rPr>
        <w:t>O. niloticus</w:t>
      </w:r>
      <w:r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C73D9B" w:rsidTr="00EB4404">
        <w:trPr>
          <w:trHeight w:val="2736"/>
          <w:jc w:val="center"/>
        </w:trPr>
        <w:tc>
          <w:tcPr>
            <w:tcW w:w="4686" w:type="dxa"/>
          </w:tcPr>
          <w:p w:rsidR="00923643" w:rsidRDefault="00FA5346" w:rsidP="00EB4404">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rsidR="00923643" w:rsidRPr="00555E7A" w:rsidRDefault="00FA5346" w:rsidP="00EB4404">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882286" cy="2120884"/>
                          </a:xfrm>
                          <a:prstGeom prst="rect">
                            <a:avLst/>
                          </a:prstGeom>
                          <a:noFill/>
                          <a:ln>
                            <a:noFill/>
                          </a:ln>
                        </pic:spPr>
                      </pic:pic>
                    </a:graphicData>
                  </a:graphic>
                </wp:inline>
              </w:drawing>
            </w:r>
          </w:p>
        </w:tc>
        <w:tc>
          <w:tcPr>
            <w:tcW w:w="4720" w:type="dxa"/>
          </w:tcPr>
          <w:p w:rsidR="00923643" w:rsidRDefault="00FA5346"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923643" w:rsidRPr="00555E7A" w:rsidRDefault="00FA5346"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9"/>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808615" cy="2137187"/>
                          </a:xfrm>
                          <a:prstGeom prst="rect">
                            <a:avLst/>
                          </a:prstGeom>
                          <a:noFill/>
                          <a:ln>
                            <a:noFill/>
                          </a:ln>
                        </pic:spPr>
                      </pic:pic>
                    </a:graphicData>
                  </a:graphic>
                </wp:inline>
              </w:drawing>
            </w:r>
          </w:p>
        </w:tc>
      </w:tr>
      <w:tr w:rsidR="00C73D9B" w:rsidTr="00EB4404">
        <w:trPr>
          <w:trHeight w:val="2769"/>
          <w:jc w:val="center"/>
        </w:trPr>
        <w:tc>
          <w:tcPr>
            <w:tcW w:w="4686" w:type="dxa"/>
          </w:tcPr>
          <w:p w:rsidR="00923643" w:rsidRDefault="00FA5346"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rsidR="00923643" w:rsidRPr="00555E7A" w:rsidRDefault="00FA5346" w:rsidP="00EB4404">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713587" cy="2175760"/>
                          </a:xfrm>
                          <a:prstGeom prst="rect">
                            <a:avLst/>
                          </a:prstGeom>
                          <a:noFill/>
                          <a:ln>
                            <a:noFill/>
                          </a:ln>
                        </pic:spPr>
                      </pic:pic>
                    </a:graphicData>
                  </a:graphic>
                </wp:inline>
              </w:drawing>
            </w:r>
          </w:p>
        </w:tc>
        <w:tc>
          <w:tcPr>
            <w:tcW w:w="4720" w:type="dxa"/>
          </w:tcPr>
          <w:p w:rsidR="00923643" w:rsidRPr="00555E7A" w:rsidRDefault="00923643" w:rsidP="00EB4404">
            <w:pPr>
              <w:pStyle w:val="PargrafodaLista"/>
              <w:spacing w:line="360" w:lineRule="auto"/>
              <w:ind w:left="0"/>
              <w:jc w:val="center"/>
              <w:rPr>
                <w:rFonts w:ascii="Times New Roman" w:hAnsi="Times New Roman" w:cs="Times New Roman"/>
                <w:b/>
                <w:sz w:val="24"/>
                <w:szCs w:val="24"/>
                <w:lang w:val="en-US"/>
              </w:rPr>
            </w:pPr>
          </w:p>
          <w:p w:rsidR="00923643" w:rsidRDefault="00923643" w:rsidP="00EB4404">
            <w:pPr>
              <w:pStyle w:val="PargrafodaLista"/>
              <w:spacing w:line="360" w:lineRule="auto"/>
              <w:ind w:left="0"/>
              <w:jc w:val="center"/>
              <w:rPr>
                <w:rFonts w:ascii="Times New Roman" w:hAnsi="Times New Roman" w:cs="Times New Roman"/>
                <w:b/>
                <w:sz w:val="16"/>
                <w:szCs w:val="24"/>
                <w:lang w:val="en-US"/>
              </w:rPr>
            </w:pPr>
          </w:p>
          <w:p w:rsidR="00923643" w:rsidRPr="00555E7A" w:rsidRDefault="00923643" w:rsidP="00EB4404">
            <w:pPr>
              <w:pStyle w:val="PargrafodaLista"/>
              <w:spacing w:line="360" w:lineRule="auto"/>
              <w:ind w:left="0"/>
              <w:jc w:val="center"/>
              <w:rPr>
                <w:rFonts w:ascii="Times New Roman" w:hAnsi="Times New Roman" w:cs="Times New Roman"/>
                <w:b/>
                <w:sz w:val="16"/>
                <w:szCs w:val="24"/>
                <w:lang w:val="en-US"/>
              </w:rPr>
            </w:pPr>
          </w:p>
          <w:p w:rsidR="00923643" w:rsidRPr="00555E7A" w:rsidRDefault="00FA5346"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623539" cy="1308250"/>
                          </a:xfrm>
                          <a:prstGeom prst="rect">
                            <a:avLst/>
                          </a:prstGeom>
                          <a:noFill/>
                          <a:ln>
                            <a:noFill/>
                          </a:ln>
                        </pic:spPr>
                      </pic:pic>
                    </a:graphicData>
                  </a:graphic>
                </wp:inline>
              </w:drawing>
            </w:r>
          </w:p>
        </w:tc>
      </w:tr>
    </w:tbl>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CAT; B) GR; C) TBARS.</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923643" w:rsidRDefault="00923643" w:rsidP="00D8262D">
      <w:pPr>
        <w:spacing w:line="360" w:lineRule="auto"/>
        <w:ind w:firstLine="360"/>
        <w:jc w:val="both"/>
        <w:rPr>
          <w:rFonts w:ascii="Times New Roman" w:hAnsi="Times New Roman" w:cs="Times New Roman"/>
          <w:sz w:val="24"/>
          <w:szCs w:val="24"/>
          <w:lang w:val="en-US"/>
        </w:rPr>
      </w:pPr>
    </w:p>
    <w:p w:rsidR="00D138C6" w:rsidRDefault="00FA5346"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rsidR="000C1310" w:rsidRPr="00555E7A" w:rsidRDefault="000C1310" w:rsidP="000C1310">
      <w:pPr>
        <w:pStyle w:val="PargrafodaLista"/>
        <w:spacing w:line="360" w:lineRule="auto"/>
        <w:ind w:left="1080"/>
        <w:jc w:val="both"/>
        <w:rPr>
          <w:rFonts w:ascii="Times New Roman" w:hAnsi="Times New Roman" w:cs="Times New Roman"/>
          <w:b/>
          <w:i/>
          <w:sz w:val="24"/>
          <w:szCs w:val="24"/>
          <w:lang w:val="en-US"/>
        </w:rPr>
      </w:pPr>
    </w:p>
    <w:p w:rsidR="00D138C6" w:rsidRDefault="00FA5346"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555E7A">
        <w:rPr>
          <w:rFonts w:ascii="Times New Roman" w:hAnsi="Times New Roman" w:cs="Times New Roman"/>
          <w:sz w:val="24"/>
          <w:szCs w:val="24"/>
          <w:lang w:val="en-US"/>
        </w:rPr>
        <w:t xml:space="preserve">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rsidR="00543504" w:rsidRDefault="00543504" w:rsidP="00D138C6">
      <w:pPr>
        <w:spacing w:line="360" w:lineRule="auto"/>
        <w:ind w:firstLine="360"/>
        <w:jc w:val="both"/>
        <w:rPr>
          <w:rFonts w:ascii="Times New Roman" w:hAnsi="Times New Roman" w:cs="Times New Roman"/>
          <w:sz w:val="24"/>
          <w:szCs w:val="24"/>
          <w:lang w:val="en-US"/>
        </w:rPr>
      </w:pPr>
    </w:p>
    <w:p w:rsidR="00543504" w:rsidRDefault="00543504" w:rsidP="00D138C6">
      <w:pPr>
        <w:spacing w:line="360" w:lineRule="auto"/>
        <w:ind w:firstLine="360"/>
        <w:jc w:val="both"/>
        <w:rPr>
          <w:rFonts w:ascii="Times New Roman" w:hAnsi="Times New Roman" w:cs="Times New Roman"/>
          <w:sz w:val="24"/>
          <w:szCs w:val="24"/>
          <w:lang w:val="en-US"/>
        </w:rPr>
      </w:pPr>
    </w:p>
    <w:p w:rsidR="00923643" w:rsidRPr="00555E7A" w:rsidRDefault="00FA5346" w:rsidP="00923643">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Pr="00555E7A">
        <w:rPr>
          <w:rFonts w:ascii="Times New Roman" w:hAnsi="Times New Roman" w:cs="Times New Roman"/>
          <w:b/>
          <w:sz w:val="24"/>
          <w:szCs w:val="24"/>
          <w:lang w:val="en-US"/>
        </w:rPr>
        <w:t xml:space="preserve"> – Effect of significant interactions on the gills of </w:t>
      </w:r>
      <w:r w:rsidRPr="00555E7A">
        <w:rPr>
          <w:rFonts w:ascii="Times New Roman" w:hAnsi="Times New Roman" w:cs="Times New Roman"/>
          <w:b/>
          <w:i/>
          <w:sz w:val="24"/>
          <w:szCs w:val="24"/>
          <w:lang w:val="en-US"/>
        </w:rPr>
        <w:t>O. niloticus</w:t>
      </w:r>
      <w:r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C73D9B" w:rsidTr="00EB4404">
        <w:trPr>
          <w:trHeight w:val="2908"/>
          <w:jc w:val="center"/>
        </w:trPr>
        <w:tc>
          <w:tcPr>
            <w:tcW w:w="5104" w:type="dxa"/>
          </w:tcPr>
          <w:p w:rsidR="00923643" w:rsidRDefault="00FA5346" w:rsidP="00EB4404">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923643" w:rsidRPr="00D138C6" w:rsidRDefault="00FA5346" w:rsidP="00EB4404">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46723" cy="2277748"/>
                          </a:xfrm>
                          <a:prstGeom prst="rect">
                            <a:avLst/>
                          </a:prstGeom>
                          <a:noFill/>
                          <a:ln>
                            <a:noFill/>
                          </a:ln>
                        </pic:spPr>
                      </pic:pic>
                    </a:graphicData>
                  </a:graphic>
                </wp:inline>
              </w:drawing>
            </w:r>
          </w:p>
        </w:tc>
        <w:tc>
          <w:tcPr>
            <w:tcW w:w="2673" w:type="dxa"/>
          </w:tcPr>
          <w:p w:rsidR="00923643"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rsidR="00923643" w:rsidRPr="00D138C6" w:rsidRDefault="00923643" w:rsidP="00EB4404">
            <w:pPr>
              <w:pStyle w:val="PargrafodaLista"/>
              <w:spacing w:line="360" w:lineRule="auto"/>
              <w:ind w:left="0"/>
              <w:jc w:val="center"/>
              <w:rPr>
                <w:rFonts w:ascii="Times New Roman" w:hAnsi="Times New Roman" w:cs="Times New Roman"/>
                <w:b/>
                <w:noProof/>
                <w:sz w:val="24"/>
                <w:szCs w:val="24"/>
                <w:lang w:val="en-US" w:eastAsia="pt-BR"/>
              </w:rPr>
            </w:pPr>
          </w:p>
          <w:p w:rsidR="00923643" w:rsidRPr="00D138C6" w:rsidRDefault="00FA5346" w:rsidP="00EB4404">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GPx.</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rsidR="00923643" w:rsidRPr="002133CE" w:rsidRDefault="00FA5346" w:rsidP="00923643">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923643" w:rsidRDefault="00923643" w:rsidP="00D138C6">
      <w:pPr>
        <w:spacing w:line="360" w:lineRule="auto"/>
        <w:ind w:firstLine="360"/>
        <w:jc w:val="both"/>
        <w:rPr>
          <w:rFonts w:ascii="Times New Roman" w:hAnsi="Times New Roman" w:cs="Times New Roman"/>
          <w:sz w:val="24"/>
          <w:szCs w:val="24"/>
          <w:lang w:val="en-US"/>
        </w:rPr>
      </w:pPr>
    </w:p>
    <w:p w:rsidR="00D138C6" w:rsidRDefault="00FA5346" w:rsidP="00D138C6">
      <w:pPr>
        <w:pStyle w:val="PargrafodaLista"/>
        <w:numPr>
          <w:ilvl w:val="2"/>
          <w:numId w:val="1"/>
        </w:numPr>
        <w:spacing w:line="360" w:lineRule="auto"/>
        <w:jc w:val="both"/>
        <w:rPr>
          <w:rFonts w:ascii="Times New Roman" w:hAnsi="Times New Roman" w:cs="Times New Roman"/>
          <w:b/>
          <w:i/>
          <w:sz w:val="24"/>
          <w:szCs w:val="24"/>
          <w:lang w:val="en-US"/>
        </w:rPr>
      </w:pPr>
      <w:r>
        <w:rPr>
          <w:rFonts w:ascii="Times New Roman" w:hAnsi="Times New Roman" w:cs="Times New Roman"/>
          <w:b/>
          <w:i/>
          <w:sz w:val="24"/>
          <w:szCs w:val="24"/>
          <w:lang w:val="en-US"/>
        </w:rPr>
        <w:t>Muscle</w:t>
      </w:r>
    </w:p>
    <w:p w:rsidR="000C1310" w:rsidRPr="00D138C6" w:rsidRDefault="000C1310" w:rsidP="000C1310">
      <w:pPr>
        <w:pStyle w:val="PargrafodaLista"/>
        <w:spacing w:line="360" w:lineRule="auto"/>
        <w:ind w:left="1080"/>
        <w:jc w:val="both"/>
        <w:rPr>
          <w:rFonts w:ascii="Times New Roman" w:hAnsi="Times New Roman" w:cs="Times New Roman"/>
          <w:b/>
          <w:i/>
          <w:sz w:val="24"/>
          <w:szCs w:val="24"/>
          <w:lang w:val="en-US"/>
        </w:rPr>
      </w:pPr>
    </w:p>
    <w:p w:rsidR="00D138C6" w:rsidRPr="00D138C6" w:rsidRDefault="00FA5346"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w:t>
      </w:r>
      <w:r w:rsidR="00923643">
        <w:rPr>
          <w:rFonts w:ascii="Times New Roman" w:hAnsi="Times New Roman" w:cs="Times New Roman"/>
          <w:sz w:val="24"/>
          <w:szCs w:val="24"/>
          <w:lang w:val="en-US"/>
        </w:rPr>
        <w:t>s</w:t>
      </w:r>
      <w:r w:rsidRPr="00D138C6">
        <w:rPr>
          <w:rFonts w:ascii="Times New Roman" w:hAnsi="Times New Roman" w:cs="Times New Roman"/>
          <w:sz w:val="24"/>
          <w:szCs w:val="24"/>
          <w:lang w:val="en-US"/>
        </w:rPr>
        <w:t xml:space="preserve"> and exposure periods, in general, did not show significant differences in the biomarkers studied in the Nile tilapia </w:t>
      </w:r>
      <w:r w:rsidR="00F647E8">
        <w:rPr>
          <w:rFonts w:ascii="Times New Roman" w:hAnsi="Times New Roman" w:cs="Times New Roman"/>
          <w:sz w:val="24"/>
          <w:szCs w:val="24"/>
          <w:lang w:val="en-US"/>
        </w:rPr>
        <w:t>muscle</w:t>
      </w:r>
      <w:r w:rsidRPr="00D138C6">
        <w:rPr>
          <w:rFonts w:ascii="Times New Roman" w:hAnsi="Times New Roman" w:cs="Times New Roman"/>
          <w:sz w:val="24"/>
          <w:szCs w:val="24"/>
          <w:lang w:val="en-US"/>
        </w:rPr>
        <w: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We observed a significant intera</w:t>
      </w:r>
      <w:r w:rsidR="00DB1A43">
        <w:rPr>
          <w:rFonts w:ascii="Times New Roman" w:hAnsi="Times New Roman" w:cs="Times New Roman"/>
          <w:sz w:val="24"/>
          <w:szCs w:val="24"/>
          <w:lang w:val="en-US"/>
        </w:rPr>
        <w:t>ction for GST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considerable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compared to the rest of the groups.</w:t>
      </w:r>
    </w:p>
    <w:p w:rsidR="00DB1A43" w:rsidRDefault="00DB1A43" w:rsidP="00FC4F91">
      <w:pPr>
        <w:spacing w:line="240" w:lineRule="auto"/>
        <w:jc w:val="both"/>
        <w:rPr>
          <w:rFonts w:ascii="Times New Roman" w:hAnsi="Times New Roman" w:cs="Times New Roman"/>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923643" w:rsidRDefault="00923643" w:rsidP="00C06ECD">
      <w:pPr>
        <w:spacing w:line="360" w:lineRule="auto"/>
        <w:jc w:val="center"/>
        <w:rPr>
          <w:rFonts w:ascii="Times New Roman" w:hAnsi="Times New Roman" w:cs="Times New Roman"/>
          <w:b/>
          <w:sz w:val="24"/>
          <w:szCs w:val="24"/>
          <w:lang w:val="en-US"/>
        </w:rPr>
      </w:pPr>
    </w:p>
    <w:p w:rsidR="00F1793A" w:rsidRPr="00D138C6" w:rsidRDefault="00F1793A" w:rsidP="00DF0540">
      <w:pPr>
        <w:spacing w:line="480" w:lineRule="auto"/>
        <w:jc w:val="both"/>
        <w:rPr>
          <w:rFonts w:ascii="Times New Roman" w:hAnsi="Times New Roman" w:cs="Times New Roman"/>
          <w:b/>
          <w:sz w:val="24"/>
          <w:szCs w:val="24"/>
          <w:lang w:val="en-US"/>
        </w:rPr>
      </w:pPr>
    </w:p>
    <w:p w:rsidR="00C06ECD" w:rsidRPr="00D138C6" w:rsidRDefault="00FA5346"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8</w:t>
      </w:r>
      <w:r w:rsidRPr="00D138C6">
        <w:rPr>
          <w:rFonts w:ascii="Times New Roman" w:hAnsi="Times New Roman" w:cs="Times New Roman"/>
          <w:b/>
          <w:sz w:val="24"/>
          <w:szCs w:val="24"/>
          <w:lang w:val="en-US"/>
        </w:rPr>
        <w:t xml:space="preserve"> – Effect of significant interactions in the </w:t>
      </w:r>
      <w:r w:rsidRPr="00D138C6">
        <w:rPr>
          <w:rFonts w:ascii="Times New Roman" w:hAnsi="Times New Roman" w:cs="Times New Roman"/>
          <w:b/>
          <w:i/>
          <w:sz w:val="24"/>
          <w:szCs w:val="24"/>
          <w:lang w:val="en-US"/>
        </w:rPr>
        <w:t>O. niloticus</w:t>
      </w:r>
      <w:r w:rsidR="000C1310">
        <w:rPr>
          <w:rFonts w:ascii="Times New Roman" w:hAnsi="Times New Roman" w:cs="Times New Roman"/>
          <w:b/>
          <w:sz w:val="24"/>
          <w:szCs w:val="24"/>
          <w:lang w:val="en-US"/>
        </w:rPr>
        <w:t xml:space="preserve"> muscle</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C73D9B" w:rsidTr="00DF0540">
        <w:trPr>
          <w:trHeight w:val="3508"/>
          <w:jc w:val="center"/>
        </w:trPr>
        <w:tc>
          <w:tcPr>
            <w:tcW w:w="4900" w:type="dxa"/>
          </w:tcPr>
          <w:p w:rsidR="00235EE0" w:rsidRDefault="00FA5346"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rsidR="00DF0540" w:rsidRPr="00DF0540" w:rsidRDefault="00FA5346"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687084" cy="1883481"/>
                          </a:xfrm>
                          <a:prstGeom prst="rect">
                            <a:avLst/>
                          </a:prstGeom>
                          <a:noFill/>
                          <a:ln>
                            <a:noFill/>
                          </a:ln>
                        </pic:spPr>
                      </pic:pic>
                    </a:graphicData>
                  </a:graphic>
                </wp:inline>
              </w:drawing>
            </w:r>
          </w:p>
        </w:tc>
        <w:tc>
          <w:tcPr>
            <w:tcW w:w="4894" w:type="dxa"/>
          </w:tcPr>
          <w:p w:rsidR="00235EE0" w:rsidRDefault="00FA5346"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rsidR="00DF0540" w:rsidRPr="00DF0540" w:rsidRDefault="00FA5346"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3"/>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432172" cy="1884278"/>
                          </a:xfrm>
                          <a:prstGeom prst="rect">
                            <a:avLst/>
                          </a:prstGeom>
                          <a:noFill/>
                          <a:ln>
                            <a:noFill/>
                          </a:ln>
                        </pic:spPr>
                      </pic:pic>
                    </a:graphicData>
                  </a:graphic>
                </wp:inline>
              </w:drawing>
            </w:r>
          </w:p>
        </w:tc>
      </w:tr>
      <w:tr w:rsidR="00C73D9B" w:rsidTr="00DF0540">
        <w:trPr>
          <w:trHeight w:val="1964"/>
          <w:jc w:val="center"/>
        </w:trPr>
        <w:tc>
          <w:tcPr>
            <w:tcW w:w="9794" w:type="dxa"/>
            <w:gridSpan w:val="2"/>
          </w:tcPr>
          <w:p w:rsidR="00235EE0" w:rsidRPr="00DF0540" w:rsidRDefault="00FA5346"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552611" cy="1251096"/>
                          </a:xfrm>
                          <a:prstGeom prst="rect">
                            <a:avLst/>
                          </a:prstGeom>
                          <a:noFill/>
                          <a:ln>
                            <a:noFill/>
                          </a:ln>
                        </pic:spPr>
                      </pic:pic>
                    </a:graphicData>
                  </a:graphic>
                </wp:inline>
              </w:drawing>
            </w:r>
          </w:p>
        </w:tc>
      </w:tr>
    </w:tbl>
    <w:p w:rsidR="00DF0540" w:rsidRPr="002133CE" w:rsidRDefault="00FA5346"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A) GST; B) TBARS.</w:t>
      </w:r>
    </w:p>
    <w:p w:rsidR="00DF0540" w:rsidRPr="002133CE" w:rsidRDefault="00FA5346"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*Values are expressed as mean ± SEM; n=5.</w:t>
      </w:r>
    </w:p>
    <w:p w:rsidR="00DF0540" w:rsidRDefault="00FA5346" w:rsidP="00DF0540">
      <w:pPr>
        <w:pStyle w:val="PargrafodaLista"/>
        <w:spacing w:before="240"/>
        <w:jc w:val="center"/>
        <w:rPr>
          <w:rFonts w:ascii="Times New Roman" w:hAnsi="Times New Roman" w:cs="Times New Roman"/>
          <w:lang w:val="en-US"/>
        </w:rPr>
      </w:pPr>
      <w:r w:rsidRPr="002133CE">
        <w:rPr>
          <w:rFonts w:ascii="Times New Roman" w:hAnsi="Times New Roman" w:cs="Times New Roman"/>
          <w:lang w:val="en-US"/>
        </w:rPr>
        <w:t>*General linear models (GLM) with factorial ANOVA design.</w:t>
      </w:r>
    </w:p>
    <w:p w:rsidR="00923643" w:rsidRDefault="00923643" w:rsidP="00DF0540">
      <w:pPr>
        <w:pStyle w:val="PargrafodaLista"/>
        <w:spacing w:before="240"/>
        <w:jc w:val="center"/>
        <w:rPr>
          <w:rFonts w:ascii="Times New Roman" w:hAnsi="Times New Roman" w:cs="Times New Roman"/>
          <w:lang w:val="en-US"/>
        </w:rPr>
      </w:pPr>
    </w:p>
    <w:p w:rsidR="00923643" w:rsidRDefault="00923643" w:rsidP="00DF0540">
      <w:pPr>
        <w:pStyle w:val="PargrafodaLista"/>
        <w:spacing w:before="240"/>
        <w:jc w:val="center"/>
        <w:rPr>
          <w:rFonts w:ascii="Times New Roman" w:hAnsi="Times New Roman" w:cs="Times New Roman"/>
          <w:lang w:val="en-US"/>
        </w:rPr>
      </w:pPr>
    </w:p>
    <w:p w:rsidR="00923643" w:rsidRPr="002133CE" w:rsidRDefault="00923643" w:rsidP="00DF0540">
      <w:pPr>
        <w:pStyle w:val="PargrafodaLista"/>
        <w:spacing w:before="240"/>
        <w:jc w:val="center"/>
        <w:rPr>
          <w:rFonts w:ascii="Times New Roman" w:hAnsi="Times New Roman" w:cs="Times New Roman"/>
          <w:lang w:val="en-US"/>
        </w:rPr>
      </w:pPr>
    </w:p>
    <w:p w:rsidR="00980EEA" w:rsidRPr="00DF0540" w:rsidRDefault="00FA5346"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t>DISCUSSION</w:t>
      </w:r>
    </w:p>
    <w:p w:rsidR="00980EEA" w:rsidRPr="00DF0540" w:rsidRDefault="00980EEA" w:rsidP="00980EEA">
      <w:pPr>
        <w:pStyle w:val="PargrafodaLista"/>
        <w:rPr>
          <w:rFonts w:ascii="Times New Roman" w:hAnsi="Times New Roman" w:cs="Times New Roman"/>
          <w:b/>
          <w:sz w:val="24"/>
          <w:szCs w:val="24"/>
          <w:lang w:val="en-US"/>
        </w:rPr>
      </w:pPr>
    </w:p>
    <w:p w:rsidR="00393026" w:rsidRDefault="00FA5346" w:rsidP="00393026">
      <w:pPr>
        <w:spacing w:line="360" w:lineRule="auto"/>
        <w:ind w:firstLine="360"/>
        <w:jc w:val="both"/>
        <w:rPr>
          <w:rFonts w:ascii="Times New Roman" w:hAnsi="Times New Roman" w:cs="Times New Roman"/>
          <w:sz w:val="24"/>
          <w:szCs w:val="24"/>
          <w:lang w:val="en-US"/>
        </w:rPr>
      </w:pPr>
      <w:r w:rsidRPr="00602921">
        <w:rPr>
          <w:rFonts w:ascii="Times New Roman" w:hAnsi="Times New Roman" w:cs="Times New Roman"/>
          <w:sz w:val="24"/>
          <w:szCs w:val="24"/>
          <w:lang w:val="en-US"/>
        </w:rPr>
        <w:t>Analysis of oxidative stress biomarkers in different tissues is a fundamental tool for a better understanding the metabolization capacity and toxicological potential of inorganic arsenic in aquatic organisms, especially in Nile tilapia (</w:t>
      </w:r>
      <w:r w:rsidRPr="00FA5777">
        <w:rPr>
          <w:rFonts w:ascii="Times New Roman" w:hAnsi="Times New Roman" w:cs="Times New Roman"/>
          <w:i/>
          <w:sz w:val="24"/>
          <w:szCs w:val="24"/>
          <w:lang w:val="en-US"/>
        </w:rPr>
        <w:t>Oreochromis niloticus</w:t>
      </w:r>
      <w:r w:rsidRPr="00602921">
        <w:rPr>
          <w:rFonts w:ascii="Times New Roman" w:hAnsi="Times New Roman" w:cs="Times New Roman"/>
          <w:sz w:val="24"/>
          <w:szCs w:val="24"/>
          <w:lang w:val="en-US"/>
        </w:rPr>
        <w:t xml:space="preserve">). In this case, when Nile tilapia are exposed to inorganic arsenic species, their metabolization will generate reactive species, culminating in an oxidative cascade that increases the oxidation of biomolecules. Thus, analyzing redox metabolism markers may be considered an exciting tool to indicate the </w:t>
      </w:r>
      <w:r w:rsidR="00041E41">
        <w:rPr>
          <w:rFonts w:ascii="Times New Roman" w:hAnsi="Times New Roman" w:cs="Times New Roman"/>
          <w:sz w:val="24"/>
          <w:szCs w:val="24"/>
          <w:lang w:val="en-US"/>
        </w:rPr>
        <w:t xml:space="preserve">animal </w:t>
      </w:r>
      <w:r w:rsidRPr="00602921">
        <w:rPr>
          <w:rFonts w:ascii="Times New Roman" w:hAnsi="Times New Roman" w:cs="Times New Roman"/>
          <w:sz w:val="24"/>
          <w:szCs w:val="24"/>
          <w:lang w:val="en-US"/>
        </w:rPr>
        <w:t xml:space="preserve">health and quality of the </w:t>
      </w:r>
      <w:r w:rsidR="00F647E8">
        <w:rPr>
          <w:rFonts w:ascii="Times New Roman" w:hAnsi="Times New Roman" w:cs="Times New Roman"/>
          <w:sz w:val="24"/>
          <w:szCs w:val="24"/>
          <w:lang w:val="en-US"/>
        </w:rPr>
        <w:t>muscle</w:t>
      </w:r>
      <w:r w:rsidR="009E7DB8">
        <w:rPr>
          <w:rFonts w:ascii="Times New Roman" w:hAnsi="Times New Roman" w:cs="Times New Roman"/>
          <w:sz w:val="24"/>
          <w:szCs w:val="24"/>
          <w:lang w:val="en-US"/>
        </w:rPr>
        <w:t xml:space="preserve"> (muscle)</w:t>
      </w:r>
      <w:r w:rsidRPr="00602921">
        <w:rPr>
          <w:rFonts w:ascii="Times New Roman" w:hAnsi="Times New Roman" w:cs="Times New Roman"/>
          <w:sz w:val="24"/>
          <w:szCs w:val="24"/>
          <w:lang w:val="en-US"/>
        </w:rPr>
        <w:t xml:space="preserve"> we consume.</w:t>
      </w:r>
    </w:p>
    <w:p w:rsidR="002008C5" w:rsidRPr="00FA5777" w:rsidRDefault="00FA5346" w:rsidP="00FA5777">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The treatments with both As species caused an enzymatic inhibition pattern of the evaluated antioxidants</w:t>
      </w:r>
      <w:r>
        <w:rPr>
          <w:rFonts w:ascii="Times New Roman" w:hAnsi="Times New Roman" w:cs="Times New Roman"/>
          <w:sz w:val="24"/>
          <w:szCs w:val="24"/>
          <w:lang w:val="en-US"/>
        </w:rPr>
        <w:t>, along with an increase in oxidized biomolecules mainly after seven days of experimentation</w:t>
      </w:r>
      <w:r w:rsidRPr="004165FB">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Ventura-Lima </w:t>
      </w:r>
      <w:r>
        <w:rPr>
          <w:rFonts w:ascii="Times New Roman" w:hAnsi="Times New Roman" w:cs="Times New Roman"/>
          <w:sz w:val="24"/>
          <w:szCs w:val="24"/>
          <w:lang w:val="en-US"/>
        </w:rPr>
        <w:t xml:space="preserve">et al. </w:t>
      </w:r>
      <w:r w:rsidRPr="00255558">
        <w:rPr>
          <w:rFonts w:ascii="Times New Roman" w:hAnsi="Times New Roman" w:cs="Times New Roman"/>
          <w:sz w:val="24"/>
          <w:szCs w:val="24"/>
          <w:lang w:val="en-US"/>
        </w:rPr>
        <w:t>(2009)</w:t>
      </w:r>
      <w:r>
        <w:rPr>
          <w:rFonts w:ascii="Times New Roman" w:hAnsi="Times New Roman" w:cs="Times New Roman"/>
          <w:sz w:val="24"/>
          <w:szCs w:val="24"/>
          <w:lang w:val="en-US"/>
        </w:rPr>
        <w:t xml:space="preserve"> have already reported such </w:t>
      </w:r>
      <w:r>
        <w:rPr>
          <w:rFonts w:ascii="Times New Roman" w:hAnsi="Times New Roman" w:cs="Times New Roman"/>
          <w:sz w:val="24"/>
          <w:szCs w:val="24"/>
          <w:lang w:val="en-US"/>
        </w:rPr>
        <w:lastRenderedPageBreak/>
        <w:t>behavior for gills and liver in</w:t>
      </w:r>
      <w:r w:rsidR="00FA5777">
        <w:rPr>
          <w:rFonts w:ascii="Times New Roman" w:hAnsi="Times New Roman" w:cs="Times New Roman"/>
          <w:sz w:val="24"/>
          <w:szCs w:val="24"/>
          <w:lang w:val="en-US"/>
        </w:rPr>
        <w:t xml:space="preserve"> z</w:t>
      </w:r>
      <w:r w:rsidR="00FA5777" w:rsidRPr="00FA5777">
        <w:rPr>
          <w:rFonts w:ascii="Times New Roman" w:hAnsi="Times New Roman" w:cs="Times New Roman"/>
          <w:sz w:val="24"/>
          <w:szCs w:val="24"/>
          <w:lang w:val="en-US"/>
        </w:rPr>
        <w:t>ebrafi</w:t>
      </w:r>
      <w:r w:rsidR="00FA5777">
        <w:rPr>
          <w:rFonts w:ascii="Times New Roman" w:hAnsi="Times New Roman" w:cs="Times New Roman"/>
          <w:sz w:val="24"/>
          <w:szCs w:val="24"/>
          <w:lang w:val="en-US"/>
        </w:rPr>
        <w:t xml:space="preserve">sh </w:t>
      </w:r>
      <w:r w:rsidR="00FA5777" w:rsidRPr="00FA5777">
        <w:rPr>
          <w:rFonts w:ascii="Times New Roman" w:hAnsi="Times New Roman" w:cs="Times New Roman"/>
          <w:i/>
          <w:sz w:val="24"/>
          <w:szCs w:val="24"/>
          <w:lang w:val="en-US"/>
        </w:rPr>
        <w:t>Danio rerio</w:t>
      </w:r>
      <w:r w:rsidR="00FA5777">
        <w:rPr>
          <w:rFonts w:ascii="Times New Roman" w:hAnsi="Times New Roman" w:cs="Times New Roman"/>
          <w:sz w:val="24"/>
          <w:szCs w:val="24"/>
          <w:lang w:val="en-US"/>
        </w:rPr>
        <w:t>.</w:t>
      </w:r>
      <w:r>
        <w:rPr>
          <w:rFonts w:ascii="Times New Roman" w:hAnsi="Times New Roman" w:cs="Times New Roman"/>
          <w:sz w:val="24"/>
          <w:szCs w:val="24"/>
          <w:lang w:val="en-US"/>
        </w:rPr>
        <w:t xml:space="preserve"> However, to the authors’ knowledge, this is the first report for the stomach and</w:t>
      </w:r>
      <w:r w:rsidRPr="004165FB">
        <w:rPr>
          <w:rFonts w:ascii="Times New Roman" w:hAnsi="Times New Roman" w:cs="Times New Roman"/>
          <w:sz w:val="24"/>
          <w:szCs w:val="24"/>
          <w:lang w:val="en-US"/>
        </w:rPr>
        <w:t xml:space="preserve"> </w:t>
      </w:r>
      <w:r w:rsidR="00F647E8">
        <w:rPr>
          <w:rFonts w:ascii="Times New Roman" w:hAnsi="Times New Roman" w:cs="Times New Roman"/>
          <w:sz w:val="24"/>
          <w:szCs w:val="24"/>
          <w:lang w:val="en-US"/>
        </w:rPr>
        <w:t>muscle</w:t>
      </w:r>
      <w:r>
        <w:rPr>
          <w:rFonts w:ascii="Times New Roman" w:hAnsi="Times New Roman" w:cs="Times New Roman"/>
          <w:sz w:val="24"/>
          <w:szCs w:val="24"/>
          <w:lang w:val="en-US"/>
        </w:rPr>
        <w:t>, just the most affected tissues.</w:t>
      </w:r>
    </w:p>
    <w:p w:rsidR="00E85610" w:rsidRPr="00DF0540" w:rsidRDefault="00FA5346"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specific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rsidR="00F10032" w:rsidRPr="00255558" w:rsidRDefault="00FA5346" w:rsidP="00F647E8">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Different organs of aquatic beings absorb contaminants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prevent contaminants accumulation in other organs since the gills can metabolize them before they reach the liver (MDEGELA et al., 2006).</w:t>
      </w:r>
      <w:r w:rsidR="00F647E8">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The liver is the most recommended tissue to study pollution of a water body since the highest concentrations of contaminants are present in it, being the primary organ for the metabolism and toxicity of arsenic (LICATA et al., 2005). Due to anatomical and physiological characteristics, such as lipid composition, high metabolic activity, and a large amount of blood received, the liver is an organ that accumulates As in large amounts (SQUADRONE et al., 2013). </w:t>
      </w:r>
      <w:r w:rsidRPr="00F647E8">
        <w:rPr>
          <w:rFonts w:ascii="Times New Roman" w:hAnsi="Times New Roman" w:cs="Times New Roman"/>
          <w:sz w:val="24"/>
          <w:szCs w:val="24"/>
          <w:lang w:val="en-US"/>
        </w:rPr>
        <w:t>Muscles (</w:t>
      </w:r>
      <w:r w:rsidR="00F647E8">
        <w:rPr>
          <w:rFonts w:ascii="Times New Roman" w:hAnsi="Times New Roman" w:cs="Times New Roman"/>
          <w:sz w:val="24"/>
          <w:szCs w:val="24"/>
          <w:lang w:val="en-US"/>
        </w:rPr>
        <w:t>muscle</w:t>
      </w:r>
      <w:r w:rsidRPr="00F647E8">
        <w:rPr>
          <w:rFonts w:ascii="Times New Roman" w:hAnsi="Times New Roman" w:cs="Times New Roman"/>
          <w:sz w:val="24"/>
          <w:szCs w:val="24"/>
          <w:lang w:val="en-US"/>
        </w:rPr>
        <w:t>s) usually have the lowest concentrations of As (LIAO et al., 2003; OLIVEIRA et al., 2017), which is especially important for the human diet since it is the edible part of the fish.</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control group. For GR, we did not obtain</w:t>
      </w:r>
      <w:r w:rsidR="00F647E8">
        <w:rPr>
          <w:rFonts w:ascii="Times New Roman" w:hAnsi="Times New Roman" w:cs="Times New Roman"/>
          <w:sz w:val="24"/>
          <w:szCs w:val="24"/>
          <w:lang w:val="en-US"/>
        </w:rPr>
        <w:t xml:space="preserve"> a significant effect</w:t>
      </w:r>
      <w:r w:rsidRPr="00255558">
        <w:rPr>
          <w:rFonts w:ascii="Times New Roman" w:hAnsi="Times New Roman" w:cs="Times New Roman"/>
          <w:sz w:val="24"/>
          <w:szCs w:val="24"/>
          <w:lang w:val="en-US"/>
        </w:rPr>
        <w:t>, unlike studies in the literature. In</w:t>
      </w:r>
      <w:r w:rsidR="00153FB9">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For the stomach and gills, we found similar results to the liver, with reduced </w:t>
      </w:r>
      <w:r w:rsidRPr="00255558">
        <w:rPr>
          <w:rFonts w:ascii="Times New Roman" w:hAnsi="Times New Roman" w:cs="Times New Roman"/>
          <w:sz w:val="24"/>
          <w:szCs w:val="24"/>
          <w:lang w:val="en-US"/>
        </w:rPr>
        <w:lastRenderedPageBreak/>
        <w:t>enzymatic activity values of CAT, GPx, GST, and GR of the groups exposed to As(III) and (V), regardless of the concentration tested.</w:t>
      </w:r>
    </w:p>
    <w:p w:rsidR="00720BF6" w:rsidRPr="00255558" w:rsidRDefault="00FA534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A significant decrease in the activity of CAT and GPx enzymes in tissues of tilapia exposed to inorganic arsenic suggests an impaired antioxidant defense system. </w:t>
      </w:r>
      <w:r w:rsidR="000905DB">
        <w:rPr>
          <w:rFonts w:ascii="Times New Roman" w:hAnsi="Times New Roman" w:cs="Times New Roman"/>
          <w:sz w:val="24"/>
          <w:szCs w:val="24"/>
          <w:lang w:val="en-US"/>
        </w:rPr>
        <w:t>Thus, ac</w:t>
      </w:r>
      <w:r w:rsidRPr="00255558">
        <w:rPr>
          <w:rFonts w:ascii="Times New Roman" w:hAnsi="Times New Roman" w:cs="Times New Roman"/>
          <w:sz w:val="24"/>
          <w:szCs w:val="24"/>
          <w:lang w:val="en-US"/>
        </w:rPr>
        <w:t>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w:t>
      </w:r>
      <w:r w:rsidR="000905DB" w:rsidRPr="00255558">
        <w:rPr>
          <w:rFonts w:ascii="Times New Roman" w:hAnsi="Times New Roman" w:cs="Times New Roman"/>
          <w:sz w:val="24"/>
          <w:szCs w:val="24"/>
          <w:lang w:val="en-US"/>
        </w:rPr>
        <w:t xml:space="preserve">and lipid peroxides </w:t>
      </w:r>
      <w:r w:rsidRPr="00255558">
        <w:rPr>
          <w:rFonts w:ascii="Times New Roman" w:hAnsi="Times New Roman" w:cs="Times New Roman"/>
          <w:sz w:val="24"/>
          <w:szCs w:val="24"/>
          <w:lang w:val="en-US"/>
        </w:rPr>
        <w:t>(CARVALHO et al., 2012)</w:t>
      </w:r>
      <w:r w:rsidR="00F647E8">
        <w:rPr>
          <w:rFonts w:ascii="Times New Roman" w:hAnsi="Times New Roman" w:cs="Times New Roman"/>
          <w:sz w:val="24"/>
          <w:szCs w:val="24"/>
          <w:lang w:val="en-US"/>
        </w:rPr>
        <w:t xml:space="preserve">, </w:t>
      </w:r>
      <w:r w:rsidR="000905DB">
        <w:rPr>
          <w:rFonts w:ascii="Times New Roman" w:hAnsi="Times New Roman" w:cs="Times New Roman"/>
          <w:sz w:val="24"/>
          <w:szCs w:val="24"/>
          <w:lang w:val="en-US"/>
        </w:rPr>
        <w:t>which might be related to the high levels of oxidized biomolecules we found in all the tissues tested. In other words, the r</w:t>
      </w:r>
      <w:r w:rsidRPr="00255558">
        <w:rPr>
          <w:rFonts w:ascii="Times New Roman" w:hAnsi="Times New Roman" w:cs="Times New Roman"/>
          <w:sz w:val="24"/>
          <w:szCs w:val="24"/>
          <w:lang w:val="en-US"/>
        </w:rPr>
        <w:t xml:space="preserve">educed enzymatic activity may indicate that </w:t>
      </w:r>
      <w:r w:rsidR="000905DB">
        <w:rPr>
          <w:rFonts w:ascii="Times New Roman" w:hAnsi="Times New Roman" w:cs="Times New Roman"/>
          <w:sz w:val="24"/>
          <w:szCs w:val="24"/>
          <w:lang w:val="en-US"/>
        </w:rPr>
        <w:t>the</w:t>
      </w:r>
      <w:r w:rsidR="000905DB" w:rsidRPr="00255558">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antioxidant capacity has been overcome by the amount of hydroperoxide products </w:t>
      </w:r>
      <w:r w:rsidR="00E41C4A">
        <w:rPr>
          <w:rFonts w:ascii="Times New Roman" w:hAnsi="Times New Roman" w:cs="Times New Roman"/>
          <w:sz w:val="24"/>
          <w:szCs w:val="24"/>
          <w:lang w:val="en-US"/>
        </w:rPr>
        <w:t>causing the</w:t>
      </w:r>
      <w:r w:rsidRPr="00255558">
        <w:rPr>
          <w:rFonts w:ascii="Times New Roman" w:hAnsi="Times New Roman" w:cs="Times New Roman"/>
          <w:sz w:val="24"/>
          <w:szCs w:val="24"/>
          <w:lang w:val="en-US"/>
        </w:rPr>
        <w:t xml:space="preserve"> observed </w:t>
      </w:r>
      <w:r w:rsidR="00E41C4A" w:rsidRPr="00255558">
        <w:rPr>
          <w:rFonts w:ascii="Times New Roman" w:hAnsi="Times New Roman" w:cs="Times New Roman"/>
          <w:sz w:val="24"/>
          <w:szCs w:val="24"/>
          <w:lang w:val="en-US"/>
        </w:rPr>
        <w:t xml:space="preserve">TBARS </w:t>
      </w:r>
      <w:r w:rsidRPr="00255558">
        <w:rPr>
          <w:rFonts w:ascii="Times New Roman" w:hAnsi="Times New Roman" w:cs="Times New Roman"/>
          <w:sz w:val="24"/>
          <w:szCs w:val="24"/>
          <w:lang w:val="en-US"/>
        </w:rPr>
        <w:t>levels.</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enzyme glutathione S-transferase (GST) plays an essential role in detoxification and elimination of contaminants,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promising biomarker of aquatic contamination (VASKEN APOSHIAN et al., 2004). Studies by Ventura-Lima et al. (2009) investigated the accumulation and metabolism pattern of As(III) and (V) in the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work, Zhang et al. (2015) evaluated the biotransformation and detoxification of As in oysters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30 days. As a result, total As and As(III) and (V) concentrations were positively correlated with the activities of glutathione-S-transferase, suggesting that GST plays a crucial role in the biotransformation and detoxification process of As.</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r w:rsidR="009C2FA0">
        <w:rPr>
          <w:rFonts w:ascii="Times New Roman" w:hAnsi="Times New Roman" w:cs="Times New Roman"/>
          <w:sz w:val="24"/>
          <w:szCs w:val="24"/>
          <w:lang w:val="en-US"/>
        </w:rPr>
        <w:t xml:space="preserve"> </w:t>
      </w:r>
      <w:r w:rsidR="00F647E8">
        <w:rPr>
          <w:rFonts w:ascii="Times New Roman" w:hAnsi="Times New Roman" w:cs="Times New Roman"/>
          <w:sz w:val="24"/>
          <w:szCs w:val="24"/>
          <w:lang w:val="en-US"/>
        </w:rPr>
        <w:t>For the muscle</w:t>
      </w:r>
      <w:r w:rsidRPr="00255558">
        <w:rPr>
          <w:rFonts w:ascii="Times New Roman" w:hAnsi="Times New Roman" w:cs="Times New Roman"/>
          <w:sz w:val="24"/>
          <w:szCs w:val="24"/>
          <w:lang w:val="en-US"/>
        </w:rPr>
        <w: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rsidR="00720BF6" w:rsidRPr="00255558" w:rsidRDefault="00FA534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The increase in CAT activity and the decrease in GPx activity in the </w:t>
      </w:r>
      <w:r w:rsidR="00F647E8">
        <w:rPr>
          <w:rFonts w:ascii="Times New Roman" w:hAnsi="Times New Roman" w:cs="Times New Roman"/>
          <w:sz w:val="24"/>
          <w:szCs w:val="24"/>
          <w:lang w:val="en-US"/>
        </w:rPr>
        <w:t>muscle</w:t>
      </w:r>
      <w:r w:rsidRPr="00255558">
        <w:rPr>
          <w:rFonts w:ascii="Times New Roman" w:hAnsi="Times New Roman" w:cs="Times New Roman"/>
          <w:sz w:val="24"/>
          <w:szCs w:val="24"/>
          <w:lang w:val="en-US"/>
        </w:rPr>
        <w:t xml:space="preserve"> indicate that the oxidant defenses were insufficient to prevent lipid peroxidation since TBARS levels </w:t>
      </w:r>
      <w:r w:rsidRPr="00255558">
        <w:rPr>
          <w:rFonts w:ascii="Times New Roman" w:hAnsi="Times New Roman" w:cs="Times New Roman"/>
          <w:sz w:val="24"/>
          <w:szCs w:val="24"/>
          <w:lang w:val="en-US"/>
        </w:rPr>
        <w:lastRenderedPageBreak/>
        <w:t>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essential strategy against oxidative stress.</w:t>
      </w:r>
    </w:p>
    <w:p w:rsidR="00255558" w:rsidRDefault="00255558" w:rsidP="00720BF6">
      <w:pPr>
        <w:spacing w:line="360" w:lineRule="auto"/>
        <w:ind w:firstLine="360"/>
        <w:jc w:val="both"/>
        <w:rPr>
          <w:rFonts w:ascii="Times New Roman" w:hAnsi="Times New Roman" w:cs="Times New Roman"/>
          <w:sz w:val="24"/>
          <w:szCs w:val="24"/>
          <w:lang w:val="en-US"/>
        </w:rPr>
      </w:pPr>
    </w:p>
    <w:p w:rsidR="0039722E" w:rsidRPr="00255558" w:rsidRDefault="00FA5346"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rsidR="00C278A4" w:rsidRPr="00255558" w:rsidRDefault="00C278A4" w:rsidP="00C278A4">
      <w:pPr>
        <w:pStyle w:val="PargrafodaLista"/>
        <w:spacing w:line="360" w:lineRule="auto"/>
        <w:rPr>
          <w:rFonts w:ascii="Times New Roman" w:hAnsi="Times New Roman" w:cs="Times New Roman"/>
          <w:b/>
          <w:sz w:val="24"/>
          <w:szCs w:val="24"/>
          <w:lang w:val="en-US"/>
        </w:rPr>
      </w:pPr>
    </w:p>
    <w:p w:rsidR="00FC733F" w:rsidRDefault="00FA5346"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w:t>
      </w:r>
      <w:r w:rsidR="00E41C4A">
        <w:rPr>
          <w:rFonts w:ascii="Times New Roman" w:hAnsi="Times New Roman" w:cs="Times New Roman"/>
          <w:sz w:val="24"/>
          <w:szCs w:val="24"/>
          <w:lang w:val="en-US"/>
        </w:rPr>
        <w:t>ed</w:t>
      </w:r>
      <w:r w:rsidR="00734F64">
        <w:rPr>
          <w:rFonts w:ascii="Times New Roman" w:hAnsi="Times New Roman" w:cs="Times New Roman"/>
          <w:sz w:val="24"/>
          <w:szCs w:val="24"/>
          <w:lang w:val="en-US"/>
        </w:rPr>
        <w:t xml:space="preserve"> the same</w:t>
      </w:r>
      <w:r w:rsidRPr="00255558">
        <w:rPr>
          <w:rFonts w:ascii="Times New Roman" w:hAnsi="Times New Roman" w:cs="Times New Roman"/>
          <w:sz w:val="24"/>
          <w:szCs w:val="24"/>
          <w:lang w:val="en-US"/>
        </w:rPr>
        <w:t xml:space="preserve"> patterns of enzymatic r</w:t>
      </w:r>
      <w:r>
        <w:rPr>
          <w:rFonts w:ascii="Times New Roman" w:hAnsi="Times New Roman" w:cs="Times New Roman"/>
          <w:sz w:val="24"/>
          <w:szCs w:val="24"/>
          <w:lang w:val="en-US"/>
        </w:rPr>
        <w:t>esponse</w:t>
      </w:r>
      <w:r w:rsidR="00734F64">
        <w:rPr>
          <w:rFonts w:ascii="Times New Roman" w:hAnsi="Times New Roman" w:cs="Times New Roman"/>
          <w:sz w:val="24"/>
          <w:szCs w:val="24"/>
          <w:lang w:val="en-US"/>
        </w:rPr>
        <w:t xml:space="preserve"> </w:t>
      </w:r>
      <w:r w:rsidR="00734F64" w:rsidRPr="00734F64">
        <w:rPr>
          <w:rFonts w:ascii="Times New Roman" w:hAnsi="Times New Roman" w:cs="Times New Roman"/>
          <w:sz w:val="24"/>
          <w:szCs w:val="24"/>
          <w:lang w:val="en-US"/>
        </w:rPr>
        <w:t xml:space="preserve">but with different sensitivities between tissues, </w:t>
      </w:r>
      <w:r w:rsidR="00734F64">
        <w:rPr>
          <w:rFonts w:ascii="Times New Roman" w:hAnsi="Times New Roman" w:cs="Times New Roman"/>
          <w:sz w:val="24"/>
          <w:szCs w:val="24"/>
          <w:lang w:val="en-US"/>
        </w:rPr>
        <w:t>demonstrating</w:t>
      </w:r>
      <w:r w:rsidR="00E41C4A">
        <w:rPr>
          <w:rFonts w:ascii="Times New Roman" w:hAnsi="Times New Roman" w:cs="Times New Roman"/>
          <w:sz w:val="24"/>
          <w:szCs w:val="24"/>
          <w:lang w:val="en-US"/>
        </w:rPr>
        <w:t xml:space="preserve"> that As exposure significantly impacts redox metabolism</w:t>
      </w:r>
      <w:r w:rsidRPr="00FC733F">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8973A6">
        <w:rPr>
          <w:rFonts w:ascii="Times New Roman" w:hAnsi="Times New Roman" w:cs="Times New Roman"/>
          <w:sz w:val="24"/>
          <w:szCs w:val="24"/>
          <w:lang w:val="en-US"/>
        </w:rPr>
        <w:t xml:space="preserve">The exposure to </w:t>
      </w:r>
      <w:r>
        <w:rPr>
          <w:rFonts w:ascii="Times New Roman" w:hAnsi="Times New Roman" w:cs="Times New Roman"/>
          <w:sz w:val="24"/>
          <w:szCs w:val="24"/>
          <w:lang w:val="en-US"/>
        </w:rPr>
        <w:t xml:space="preserve">inorganic </w:t>
      </w:r>
      <w:r w:rsidRPr="008973A6">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FC733F">
        <w:rPr>
          <w:rFonts w:ascii="Times New Roman" w:hAnsi="Times New Roman" w:cs="Times New Roman"/>
          <w:sz w:val="24"/>
          <w:szCs w:val="24"/>
          <w:lang w:val="en-US"/>
        </w:rPr>
        <w:t xml:space="preserve">caused a pattern of enzymatic inhibition and a consequent increase in the levels of oxidation of biomolecules, which was even more evident in the stomach and </w:t>
      </w:r>
      <w:r w:rsidR="00F647E8">
        <w:rPr>
          <w:rFonts w:ascii="Times New Roman" w:hAnsi="Times New Roman" w:cs="Times New Roman"/>
          <w:sz w:val="24"/>
          <w:szCs w:val="24"/>
          <w:lang w:val="en-US"/>
        </w:rPr>
        <w:t>muscle</w:t>
      </w:r>
      <w:r w:rsidRPr="00FC733F">
        <w:rPr>
          <w:rFonts w:ascii="Times New Roman" w:hAnsi="Times New Roman" w:cs="Times New Roman"/>
          <w:sz w:val="24"/>
          <w:szCs w:val="24"/>
          <w:lang w:val="en-US"/>
        </w:rPr>
        <w:t>, which are tissues most often excluded from toxicological studies of controlled exposure to contaminants.</w:t>
      </w:r>
    </w:p>
    <w:p w:rsidR="00734F64" w:rsidRDefault="00734F64" w:rsidP="00FC733F">
      <w:pPr>
        <w:spacing w:line="360" w:lineRule="auto"/>
        <w:ind w:firstLine="360"/>
        <w:jc w:val="both"/>
        <w:rPr>
          <w:rFonts w:ascii="Times New Roman" w:hAnsi="Times New Roman" w:cs="Times New Roman"/>
          <w:sz w:val="24"/>
          <w:szCs w:val="24"/>
          <w:lang w:val="en-US"/>
        </w:rPr>
      </w:pPr>
    </w:p>
    <w:p w:rsidR="007E4D83" w:rsidRDefault="007E4D83" w:rsidP="007E4D83">
      <w:pPr>
        <w:spacing w:line="360" w:lineRule="auto"/>
        <w:jc w:val="both"/>
        <w:rPr>
          <w:rFonts w:ascii="Times New Roman" w:hAnsi="Times New Roman" w:cs="Times New Roman"/>
          <w:b/>
          <w:sz w:val="24"/>
          <w:szCs w:val="24"/>
          <w:lang w:val="en-US"/>
        </w:rPr>
      </w:pPr>
      <w:r w:rsidRPr="00F1414D">
        <w:rPr>
          <w:rFonts w:ascii="Times New Roman" w:hAnsi="Times New Roman" w:cs="Times New Roman"/>
          <w:b/>
          <w:sz w:val="24"/>
          <w:szCs w:val="24"/>
          <w:lang w:val="en-US"/>
        </w:rPr>
        <w:t>CRedit AUTHOR CONTRIBUTION STATEMENT</w:t>
      </w:r>
    </w:p>
    <w:p w:rsidR="007E4D83" w:rsidRDefault="007E4D83" w:rsidP="007E4D83">
      <w:pPr>
        <w:spacing w:line="360" w:lineRule="auto"/>
        <w:jc w:val="both"/>
        <w:rPr>
          <w:rFonts w:ascii="Times New Roman" w:hAnsi="Times New Roman" w:cs="Times New Roman"/>
          <w:b/>
          <w:sz w:val="24"/>
          <w:szCs w:val="24"/>
          <w:lang w:val="en-US"/>
        </w:rPr>
      </w:pPr>
    </w:p>
    <w:p w:rsidR="007E4D83" w:rsidRDefault="007E4D83" w:rsidP="006F2697">
      <w:pPr>
        <w:spacing w:line="480" w:lineRule="auto"/>
        <w:jc w:val="both"/>
        <w:rPr>
          <w:rFonts w:ascii="Times New Roman" w:hAnsi="Times New Roman" w:cs="Times New Roman"/>
          <w:sz w:val="24"/>
          <w:szCs w:val="24"/>
          <w:lang w:val="en-US"/>
        </w:rPr>
      </w:pPr>
      <w:r w:rsidRPr="002133CE">
        <w:rPr>
          <w:rFonts w:ascii="Times New Roman" w:hAnsi="Times New Roman" w:cs="Times New Roman"/>
          <w:b/>
          <w:sz w:val="24"/>
        </w:rPr>
        <w:t>Nathalia dos Santos Ferreira</w:t>
      </w:r>
      <w:r w:rsidRPr="006F2697">
        <w:rPr>
          <w:rFonts w:ascii="Times New Roman" w:hAnsi="Times New Roman" w:cs="Times New Roman"/>
          <w:sz w:val="24"/>
          <w:szCs w:val="24"/>
          <w:lang w:val="en-US"/>
        </w:rPr>
        <w:t>:</w:t>
      </w:r>
      <w:r w:rsidR="00445C7B" w:rsidRPr="006F2697">
        <w:rPr>
          <w:rFonts w:ascii="Times New Roman" w:hAnsi="Times New Roman" w:cs="Times New Roman"/>
          <w:sz w:val="24"/>
          <w:szCs w:val="24"/>
          <w:lang w:val="en-US"/>
        </w:rPr>
        <w:t xml:space="preserve"> </w:t>
      </w:r>
      <w:r w:rsidR="00661219" w:rsidRPr="006F2697">
        <w:rPr>
          <w:rFonts w:ascii="Times New Roman" w:hAnsi="Times New Roman" w:cs="Times New Roman"/>
          <w:sz w:val="24"/>
          <w:szCs w:val="24"/>
          <w:lang w:val="en-US"/>
        </w:rPr>
        <w:t>Conceptualization</w:t>
      </w:r>
      <w:r w:rsidR="00661219" w:rsidRPr="00445C7B">
        <w:rPr>
          <w:rFonts w:ascii="Times New Roman" w:hAnsi="Times New Roman" w:cs="Times New Roman"/>
          <w:sz w:val="24"/>
          <w:szCs w:val="24"/>
          <w:lang w:val="en-US"/>
        </w:rPr>
        <w:t>, Validation</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Formal analysis</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Investigation</w:t>
      </w:r>
      <w:r w:rsidR="00445C7B">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006F2697" w:rsidRPr="006F2697">
        <w:rPr>
          <w:rFonts w:ascii="Times New Roman" w:hAnsi="Times New Roman" w:cs="Times New Roman"/>
          <w:sz w:val="24"/>
          <w:szCs w:val="24"/>
          <w:lang w:val="en-US"/>
        </w:rPr>
        <w:t>Writing - Original Draft</w:t>
      </w:r>
      <w:r w:rsidR="00661219">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Pr="002133CE">
        <w:rPr>
          <w:rFonts w:ascii="Times New Roman" w:hAnsi="Times New Roman" w:cs="Times New Roman"/>
          <w:b/>
          <w:sz w:val="24"/>
        </w:rPr>
        <w:t>Danilo Grünig Humberto da Silva</w:t>
      </w:r>
      <w:r w:rsidRPr="007E4D83">
        <w:rPr>
          <w:rFonts w:ascii="Times New Roman" w:hAnsi="Times New Roman" w:cs="Times New Roman"/>
          <w:b/>
          <w:sz w:val="24"/>
        </w:rPr>
        <w:t>:</w:t>
      </w:r>
      <w:r>
        <w:rPr>
          <w:rFonts w:ascii="Times New Roman" w:hAnsi="Times New Roman" w:cs="Times New Roman"/>
          <w:b/>
          <w:sz w:val="24"/>
        </w:rPr>
        <w:t xml:space="preserve"> </w:t>
      </w:r>
      <w:r w:rsidRPr="007E4D83">
        <w:rPr>
          <w:rFonts w:ascii="Times New Roman" w:hAnsi="Times New Roman" w:cs="Times New Roman"/>
          <w:sz w:val="24"/>
          <w:szCs w:val="24"/>
          <w:lang w:val="en-US"/>
        </w:rPr>
        <w:t>Methodology</w:t>
      </w:r>
      <w:r>
        <w:rPr>
          <w:rFonts w:ascii="Times New Roman" w:hAnsi="Times New Roman" w:cs="Times New Roman"/>
          <w:sz w:val="24"/>
          <w:szCs w:val="24"/>
          <w:lang w:val="en-US"/>
        </w:rPr>
        <w:t xml:space="preserve">, </w:t>
      </w:r>
      <w:r w:rsidRPr="00445C7B">
        <w:rPr>
          <w:rFonts w:ascii="Times New Roman" w:hAnsi="Times New Roman" w:cs="Times New Roman"/>
          <w:sz w:val="24"/>
          <w:szCs w:val="24"/>
          <w:lang w:val="en-US"/>
        </w:rPr>
        <w:t>Software</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Resources</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Formal analysis</w:t>
      </w:r>
      <w:r w:rsidR="00445C7B">
        <w:rPr>
          <w:rFonts w:ascii="Times New Roman" w:hAnsi="Times New Roman" w:cs="Times New Roman"/>
          <w:sz w:val="24"/>
          <w:szCs w:val="24"/>
          <w:lang w:val="en-US"/>
        </w:rPr>
        <w:t xml:space="preserve">, </w:t>
      </w:r>
      <w:r w:rsidR="00445C7B" w:rsidRPr="006F2697">
        <w:rPr>
          <w:rFonts w:ascii="Times New Roman" w:hAnsi="Times New Roman" w:cs="Times New Roman"/>
          <w:sz w:val="24"/>
          <w:szCs w:val="24"/>
          <w:lang w:val="en-US"/>
        </w:rPr>
        <w:t>Data Curation</w:t>
      </w:r>
      <w:r w:rsidR="006F2697">
        <w:rPr>
          <w:rFonts w:ascii="Times New Roman" w:hAnsi="Times New Roman" w:cs="Times New Roman"/>
          <w:sz w:val="24"/>
          <w:szCs w:val="24"/>
          <w:lang w:val="en-US"/>
        </w:rPr>
        <w:t xml:space="preserve">, </w:t>
      </w:r>
      <w:r w:rsidR="006F2697" w:rsidRPr="00445C7B">
        <w:rPr>
          <w:rFonts w:ascii="Times New Roman" w:hAnsi="Times New Roman" w:cs="Times New Roman"/>
          <w:sz w:val="24"/>
          <w:szCs w:val="24"/>
          <w:lang w:val="en-US"/>
        </w:rPr>
        <w:t>Writing - Review &amp; Editing</w:t>
      </w:r>
      <w:r w:rsidR="00661219">
        <w:rPr>
          <w:rFonts w:ascii="Times New Roman" w:hAnsi="Times New Roman" w:cs="Times New Roman"/>
          <w:sz w:val="24"/>
          <w:szCs w:val="24"/>
          <w:lang w:val="en-US"/>
        </w:rPr>
        <w:t>.</w:t>
      </w:r>
      <w:r w:rsidR="006F2697">
        <w:rPr>
          <w:rFonts w:ascii="Times New Roman" w:hAnsi="Times New Roman" w:cs="Times New Roman"/>
          <w:b/>
          <w:sz w:val="24"/>
          <w:vertAlign w:val="superscript"/>
        </w:rPr>
        <w:t xml:space="preserve"> </w:t>
      </w:r>
      <w:r w:rsidRPr="002133CE">
        <w:rPr>
          <w:rFonts w:ascii="Times New Roman" w:hAnsi="Times New Roman" w:cs="Times New Roman"/>
          <w:b/>
          <w:sz w:val="24"/>
        </w:rPr>
        <w:t>Victoria Simões Bernardo</w:t>
      </w:r>
      <w:r w:rsidRPr="007E4D83">
        <w:rPr>
          <w:rFonts w:ascii="Times New Roman" w:hAnsi="Times New Roman" w:cs="Times New Roman"/>
          <w:b/>
          <w:sz w:val="24"/>
        </w:rPr>
        <w:t>:</w:t>
      </w:r>
      <w:r w:rsidR="00445C7B">
        <w:rPr>
          <w:rFonts w:ascii="Times New Roman" w:hAnsi="Times New Roman" w:cs="Times New Roman"/>
          <w:b/>
          <w:sz w:val="24"/>
        </w:rPr>
        <w:t xml:space="preserve"> </w:t>
      </w:r>
      <w:r w:rsidR="00445C7B" w:rsidRPr="00445C7B">
        <w:rPr>
          <w:rFonts w:ascii="Times New Roman" w:hAnsi="Times New Roman" w:cs="Times New Roman"/>
          <w:sz w:val="24"/>
          <w:szCs w:val="24"/>
          <w:lang w:val="en-US"/>
        </w:rPr>
        <w:t>Investigation</w:t>
      </w:r>
      <w:r w:rsidR="00445C7B">
        <w:rPr>
          <w:rFonts w:ascii="Times New Roman" w:hAnsi="Times New Roman" w:cs="Times New Roman"/>
          <w:sz w:val="24"/>
          <w:szCs w:val="24"/>
          <w:lang w:val="en-US"/>
        </w:rPr>
        <w:t xml:space="preserve">, </w:t>
      </w:r>
      <w:r w:rsidR="006F2697" w:rsidRPr="00445C7B">
        <w:rPr>
          <w:rFonts w:ascii="Times New Roman" w:hAnsi="Times New Roman" w:cs="Times New Roman"/>
          <w:sz w:val="24"/>
          <w:szCs w:val="24"/>
          <w:lang w:val="en-US"/>
        </w:rPr>
        <w:t>Writing - Review &amp; Editing</w:t>
      </w:r>
      <w:r w:rsidR="00661219">
        <w:rPr>
          <w:rFonts w:ascii="Times New Roman" w:hAnsi="Times New Roman" w:cs="Times New Roman"/>
          <w:b/>
          <w:sz w:val="24"/>
        </w:rPr>
        <w:t>.</w:t>
      </w:r>
      <w:r w:rsidR="006F2697">
        <w:rPr>
          <w:rFonts w:ascii="Times New Roman" w:hAnsi="Times New Roman" w:cs="Times New Roman"/>
          <w:b/>
          <w:sz w:val="24"/>
          <w:vertAlign w:val="superscript"/>
        </w:rPr>
        <w:t xml:space="preserve"> </w:t>
      </w:r>
      <w:r w:rsidRPr="002133CE">
        <w:rPr>
          <w:rFonts w:ascii="Times New Roman" w:hAnsi="Times New Roman" w:cs="Times New Roman"/>
          <w:b/>
          <w:sz w:val="24"/>
        </w:rPr>
        <w:t>Flaviene Felix Torres</w:t>
      </w:r>
      <w:r>
        <w:rPr>
          <w:rFonts w:ascii="Times New Roman" w:hAnsi="Times New Roman" w:cs="Times New Roman"/>
          <w:b/>
          <w:sz w:val="24"/>
        </w:rPr>
        <w:t>:</w:t>
      </w:r>
      <w:r w:rsidR="00445C7B">
        <w:rPr>
          <w:rFonts w:ascii="Times New Roman" w:hAnsi="Times New Roman" w:cs="Times New Roman"/>
          <w:b/>
          <w:sz w:val="24"/>
        </w:rPr>
        <w:t xml:space="preserve"> </w:t>
      </w:r>
      <w:r w:rsidR="00445C7B" w:rsidRPr="00445C7B">
        <w:rPr>
          <w:rFonts w:ascii="Times New Roman" w:hAnsi="Times New Roman" w:cs="Times New Roman"/>
          <w:sz w:val="24"/>
          <w:szCs w:val="24"/>
          <w:lang w:val="en-US"/>
        </w:rPr>
        <w:t>Investigation</w:t>
      </w:r>
      <w:r w:rsidR="00445C7B">
        <w:rPr>
          <w:rFonts w:ascii="Times New Roman" w:hAnsi="Times New Roman" w:cs="Times New Roman"/>
          <w:sz w:val="24"/>
          <w:szCs w:val="24"/>
          <w:lang w:val="en-US"/>
        </w:rPr>
        <w:t xml:space="preserve">, </w:t>
      </w:r>
      <w:r w:rsidR="006F2697" w:rsidRPr="00445C7B">
        <w:rPr>
          <w:rFonts w:ascii="Times New Roman" w:hAnsi="Times New Roman" w:cs="Times New Roman"/>
          <w:sz w:val="24"/>
          <w:szCs w:val="24"/>
          <w:lang w:val="en-US"/>
        </w:rPr>
        <w:t>Writing - Review &amp; Editing</w:t>
      </w:r>
      <w:r w:rsidR="00661219">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Pr="002133CE">
        <w:rPr>
          <w:rFonts w:ascii="Times New Roman" w:hAnsi="Times New Roman" w:cs="Times New Roman"/>
          <w:b/>
          <w:sz w:val="24"/>
        </w:rPr>
        <w:t>Ana Rita Araujo Nogueira</w:t>
      </w:r>
      <w:r>
        <w:rPr>
          <w:rFonts w:ascii="Times New Roman" w:hAnsi="Times New Roman" w:cs="Times New Roman"/>
          <w:b/>
          <w:sz w:val="24"/>
        </w:rPr>
        <w:t>:</w:t>
      </w:r>
      <w:r w:rsidR="00445C7B">
        <w:rPr>
          <w:rFonts w:ascii="Times New Roman" w:hAnsi="Times New Roman" w:cs="Times New Roman"/>
          <w:b/>
          <w:sz w:val="24"/>
        </w:rPr>
        <w:t xml:space="preserve"> </w:t>
      </w:r>
      <w:r w:rsidR="00445C7B" w:rsidRPr="00445C7B">
        <w:rPr>
          <w:rFonts w:ascii="Times New Roman" w:hAnsi="Times New Roman" w:cs="Times New Roman"/>
          <w:sz w:val="24"/>
          <w:szCs w:val="24"/>
          <w:lang w:val="en-US"/>
        </w:rPr>
        <w:t>Writing - Review &amp; Editing</w:t>
      </w:r>
      <w:r w:rsidR="00661219">
        <w:rPr>
          <w:rFonts w:ascii="Times New Roman" w:hAnsi="Times New Roman" w:cs="Times New Roman"/>
          <w:sz w:val="24"/>
          <w:szCs w:val="24"/>
          <w:lang w:val="en-US"/>
        </w:rPr>
        <w:t>.</w:t>
      </w:r>
      <w:r w:rsidR="006F2697">
        <w:rPr>
          <w:rFonts w:ascii="Times New Roman" w:hAnsi="Times New Roman" w:cs="Times New Roman"/>
          <w:b/>
          <w:sz w:val="24"/>
          <w:vertAlign w:val="superscript"/>
        </w:rPr>
        <w:t xml:space="preserve"> </w:t>
      </w:r>
      <w:r w:rsidRPr="002133CE">
        <w:rPr>
          <w:rFonts w:ascii="Times New Roman" w:hAnsi="Times New Roman" w:cs="Times New Roman"/>
          <w:b/>
          <w:sz w:val="24"/>
        </w:rPr>
        <w:t>Jozi Godoy Figueiredo</w:t>
      </w:r>
      <w:r w:rsidRPr="00445C7B">
        <w:rPr>
          <w:rFonts w:ascii="Times New Roman" w:hAnsi="Times New Roman" w:cs="Times New Roman"/>
          <w:sz w:val="24"/>
          <w:szCs w:val="24"/>
          <w:lang w:val="en-US"/>
        </w:rPr>
        <w:t>:</w:t>
      </w:r>
      <w:r w:rsidR="00445C7B" w:rsidRPr="00445C7B">
        <w:rPr>
          <w:rFonts w:ascii="Times New Roman" w:hAnsi="Times New Roman" w:cs="Times New Roman"/>
          <w:sz w:val="24"/>
          <w:szCs w:val="24"/>
          <w:lang w:val="en-US"/>
        </w:rPr>
        <w:t xml:space="preserve"> Writing - Review &amp; Editing</w:t>
      </w:r>
      <w:r w:rsidR="00661219">
        <w:rPr>
          <w:rFonts w:ascii="Times New Roman" w:hAnsi="Times New Roman" w:cs="Times New Roman"/>
          <w:sz w:val="24"/>
          <w:szCs w:val="24"/>
          <w:lang w:val="en-US"/>
        </w:rPr>
        <w:t>.</w:t>
      </w:r>
      <w:r w:rsidR="006F2697">
        <w:rPr>
          <w:rFonts w:ascii="Times New Roman" w:hAnsi="Times New Roman" w:cs="Times New Roman"/>
          <w:sz w:val="24"/>
          <w:szCs w:val="24"/>
          <w:lang w:val="en-US"/>
        </w:rPr>
        <w:t xml:space="preserve"> </w:t>
      </w:r>
      <w:r w:rsidRPr="002133CE">
        <w:rPr>
          <w:rFonts w:ascii="Times New Roman" w:hAnsi="Times New Roman" w:cs="Times New Roman"/>
          <w:b/>
          <w:sz w:val="24"/>
        </w:rPr>
        <w:t>Mario Henrique Gonzalez</w:t>
      </w:r>
      <w:r>
        <w:rPr>
          <w:rFonts w:ascii="Times New Roman" w:hAnsi="Times New Roman" w:cs="Times New Roman"/>
          <w:b/>
          <w:sz w:val="24"/>
        </w:rPr>
        <w:t>:</w:t>
      </w:r>
      <w:r w:rsidR="00445C7B">
        <w:rPr>
          <w:rFonts w:ascii="Times New Roman" w:hAnsi="Times New Roman" w:cs="Times New Roman"/>
          <w:b/>
          <w:sz w:val="24"/>
        </w:rPr>
        <w:t xml:space="preserve"> </w:t>
      </w:r>
      <w:r w:rsidR="006F2697" w:rsidRPr="00445C7B">
        <w:rPr>
          <w:rFonts w:ascii="Times New Roman" w:hAnsi="Times New Roman" w:cs="Times New Roman"/>
          <w:sz w:val="24"/>
          <w:szCs w:val="24"/>
          <w:lang w:val="en-US"/>
        </w:rPr>
        <w:t>Writing - Review &amp; Editing</w:t>
      </w:r>
      <w:r w:rsidR="006F2697">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Resources</w:t>
      </w:r>
      <w:r w:rsidR="00445C7B">
        <w:rPr>
          <w:rFonts w:ascii="Times New Roman" w:hAnsi="Times New Roman" w:cs="Times New Roman"/>
          <w:sz w:val="24"/>
          <w:szCs w:val="24"/>
          <w:lang w:val="en-US"/>
        </w:rPr>
        <w:t xml:space="preserve">, </w:t>
      </w:r>
      <w:r w:rsidR="00445C7B" w:rsidRPr="00445C7B">
        <w:rPr>
          <w:rFonts w:ascii="Times New Roman" w:hAnsi="Times New Roman" w:cs="Times New Roman"/>
          <w:sz w:val="24"/>
          <w:szCs w:val="24"/>
          <w:lang w:val="en-US"/>
        </w:rPr>
        <w:t>Supervision, Project administration</w:t>
      </w:r>
      <w:r w:rsidR="00661219">
        <w:rPr>
          <w:rFonts w:ascii="Times New Roman" w:hAnsi="Times New Roman" w:cs="Times New Roman"/>
          <w:sz w:val="24"/>
          <w:szCs w:val="24"/>
          <w:lang w:val="en-US"/>
        </w:rPr>
        <w:t>.</w:t>
      </w:r>
    </w:p>
    <w:p w:rsidR="00661219" w:rsidRDefault="00661219" w:rsidP="006F2697">
      <w:pPr>
        <w:spacing w:line="480" w:lineRule="auto"/>
        <w:jc w:val="both"/>
        <w:rPr>
          <w:rFonts w:ascii="Times New Roman" w:hAnsi="Times New Roman" w:cs="Times New Roman"/>
          <w:sz w:val="24"/>
          <w:szCs w:val="24"/>
          <w:lang w:val="en-US"/>
        </w:rPr>
      </w:pPr>
    </w:p>
    <w:p w:rsidR="00661219" w:rsidRDefault="00661219" w:rsidP="006F2697">
      <w:pPr>
        <w:spacing w:line="480" w:lineRule="auto"/>
        <w:jc w:val="both"/>
        <w:rPr>
          <w:rFonts w:ascii="Times New Roman" w:hAnsi="Times New Roman" w:cs="Times New Roman"/>
          <w:sz w:val="24"/>
          <w:szCs w:val="24"/>
          <w:lang w:val="en-US"/>
        </w:rPr>
      </w:pPr>
    </w:p>
    <w:p w:rsidR="00661219" w:rsidRDefault="00661219" w:rsidP="006F2697">
      <w:pPr>
        <w:spacing w:line="480" w:lineRule="auto"/>
        <w:jc w:val="both"/>
        <w:rPr>
          <w:rFonts w:ascii="Times New Roman" w:hAnsi="Times New Roman" w:cs="Times New Roman"/>
          <w:sz w:val="24"/>
          <w:szCs w:val="24"/>
          <w:lang w:val="en-US"/>
        </w:rPr>
      </w:pPr>
    </w:p>
    <w:p w:rsidR="00661219" w:rsidRPr="00661219" w:rsidRDefault="00661219" w:rsidP="00661219">
      <w:pPr>
        <w:spacing w:line="360" w:lineRule="auto"/>
        <w:jc w:val="both"/>
        <w:rPr>
          <w:rFonts w:ascii="Times New Roman" w:hAnsi="Times New Roman" w:cs="Times New Roman"/>
          <w:b/>
          <w:sz w:val="24"/>
          <w:szCs w:val="24"/>
          <w:lang w:val="en-US"/>
        </w:rPr>
      </w:pPr>
      <w:r w:rsidRPr="00661219">
        <w:rPr>
          <w:rFonts w:ascii="Times New Roman" w:hAnsi="Times New Roman" w:cs="Times New Roman"/>
          <w:b/>
          <w:sz w:val="24"/>
          <w:szCs w:val="24"/>
          <w:lang w:val="en-US"/>
        </w:rPr>
        <w:lastRenderedPageBreak/>
        <w:t>DECLARATION OF COMPETING INTEREST</w:t>
      </w:r>
    </w:p>
    <w:p w:rsidR="00661219" w:rsidRDefault="00661219" w:rsidP="00661219">
      <w:pPr>
        <w:spacing w:line="360" w:lineRule="auto"/>
        <w:jc w:val="both"/>
        <w:rPr>
          <w:rFonts w:ascii="Times New Roman" w:hAnsi="Times New Roman" w:cs="Times New Roman"/>
          <w:sz w:val="24"/>
          <w:szCs w:val="24"/>
          <w:lang w:val="en-US"/>
        </w:rPr>
      </w:pPr>
    </w:p>
    <w:p w:rsidR="00661219" w:rsidRPr="00661219" w:rsidRDefault="00661219" w:rsidP="00661219">
      <w:pPr>
        <w:spacing w:line="360" w:lineRule="auto"/>
        <w:jc w:val="both"/>
        <w:rPr>
          <w:rFonts w:ascii="Times New Roman" w:hAnsi="Times New Roman" w:cs="Times New Roman"/>
          <w:sz w:val="24"/>
          <w:szCs w:val="24"/>
          <w:lang w:val="en-US"/>
        </w:rPr>
      </w:pPr>
      <w:r w:rsidRPr="00661219">
        <w:rPr>
          <w:rFonts w:ascii="Times New Roman" w:hAnsi="Times New Roman" w:cs="Times New Roman"/>
          <w:sz w:val="24"/>
          <w:szCs w:val="24"/>
          <w:lang w:val="en-US"/>
        </w:rPr>
        <w:t>The authors declare that they have no known competing financial interests or personal relationships that could have appeared to influence the work reported in this paper.</w:t>
      </w:r>
    </w:p>
    <w:p w:rsidR="00661219" w:rsidRPr="00661219" w:rsidRDefault="00661219" w:rsidP="00661219">
      <w:pPr>
        <w:spacing w:line="360" w:lineRule="auto"/>
        <w:ind w:firstLine="360"/>
        <w:jc w:val="both"/>
        <w:rPr>
          <w:rFonts w:ascii="Times New Roman" w:hAnsi="Times New Roman" w:cs="Times New Roman"/>
          <w:sz w:val="24"/>
          <w:szCs w:val="24"/>
          <w:lang w:val="en-US"/>
        </w:rPr>
      </w:pPr>
    </w:p>
    <w:p w:rsidR="002939F3" w:rsidRPr="00255558" w:rsidRDefault="006769B2" w:rsidP="00734F64">
      <w:pPr>
        <w:pStyle w:val="Textodecomentri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rsidR="002939F3" w:rsidRPr="00255558" w:rsidRDefault="002939F3" w:rsidP="002939F3">
      <w:pPr>
        <w:pStyle w:val="PargrafodaLista"/>
        <w:rPr>
          <w:rFonts w:ascii="Times New Roman" w:hAnsi="Times New Roman" w:cs="Times New Roman"/>
          <w:b/>
          <w:sz w:val="24"/>
          <w:szCs w:val="24"/>
          <w:lang w:val="en-US"/>
        </w:rPr>
      </w:pPr>
    </w:p>
    <w:p w:rsidR="00844F72" w:rsidRPr="004165FB" w:rsidRDefault="00FA5346"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of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rsidR="002939F3" w:rsidRPr="004165FB" w:rsidRDefault="002939F3" w:rsidP="00CD0611">
      <w:pPr>
        <w:spacing w:line="360" w:lineRule="auto"/>
        <w:rPr>
          <w:rFonts w:ascii="Times New Roman" w:hAnsi="Times New Roman" w:cs="Times New Roman"/>
          <w:b/>
          <w:sz w:val="24"/>
          <w:szCs w:val="24"/>
          <w:lang w:val="en-US"/>
        </w:rPr>
      </w:pPr>
    </w:p>
    <w:p w:rsidR="00980EEA" w:rsidRPr="002133CE" w:rsidRDefault="00FA5346" w:rsidP="001D627B">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rsidR="00674A88" w:rsidRPr="002133CE" w:rsidRDefault="00674A88" w:rsidP="001D627B">
      <w:pPr>
        <w:spacing w:line="360" w:lineRule="auto"/>
        <w:rPr>
          <w:rFonts w:ascii="Times New Roman" w:hAnsi="Times New Roman" w:cs="Times New Roman"/>
          <w:b/>
          <w:sz w:val="24"/>
          <w:szCs w:val="24"/>
        </w:rPr>
      </w:pPr>
    </w:p>
    <w:p w:rsidR="00674A88" w:rsidRPr="004165FB" w:rsidRDefault="00FA5346" w:rsidP="00D05609">
      <w:pPr>
        <w:spacing w:line="360" w:lineRule="auto"/>
        <w:jc w:val="both"/>
        <w:rPr>
          <w:rFonts w:ascii="Times New Roman" w:hAnsi="Times New Roman" w:cs="Times New Roman"/>
          <w:sz w:val="24"/>
          <w:szCs w:val="24"/>
          <w:shd w:val="clear" w:color="auto" w:fill="FFFFFF"/>
          <w:lang w:val="en-US"/>
        </w:rPr>
      </w:pPr>
      <w:r w:rsidRPr="002133CE">
        <w:rPr>
          <w:rFonts w:ascii="Times New Roman" w:hAnsi="Times New Roman" w:cs="Times New Roman"/>
          <w:sz w:val="24"/>
          <w:szCs w:val="24"/>
          <w:shd w:val="clear" w:color="auto" w:fill="FFFFFF"/>
        </w:rPr>
        <w:t xml:space="preserve">ALMEIDA, E. A. et al. </w:t>
      </w:r>
      <w:r w:rsidRPr="004165FB">
        <w:rPr>
          <w:rFonts w:ascii="Times New Roman" w:hAnsi="Times New Roman" w:cs="Times New Roman"/>
          <w:sz w:val="24"/>
          <w:szCs w:val="24"/>
          <w:shd w:val="clear" w:color="auto" w:fill="FFFFFF"/>
          <w:lang w:val="en-US"/>
        </w:rPr>
        <w:t>Protective effect of phospholipid hydroperoxide 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rsidR="00674A88" w:rsidRPr="002133CE" w:rsidRDefault="00FA5346" w:rsidP="004910C1">
      <w:pPr>
        <w:spacing w:line="360" w:lineRule="auto"/>
        <w:jc w:val="both"/>
        <w:rPr>
          <w:rFonts w:ascii="Times New Roman" w:hAnsi="Times New Roman" w:cs="Times New Roman"/>
          <w:noProof/>
          <w:sz w:val="24"/>
          <w:szCs w:val="24"/>
        </w:rPr>
      </w:pPr>
      <w:r w:rsidRPr="004165FB">
        <w:rPr>
          <w:rFonts w:ascii="Times New Roman" w:hAnsi="Times New Roman" w:cs="Times New Roman"/>
          <w:noProof/>
          <w:sz w:val="24"/>
          <w:szCs w:val="24"/>
          <w:lang w:val="en-US"/>
        </w:rPr>
        <w:t xml:space="preserve">AZIZUR RAHMAN, M.; HASEGAWA, H.; PETER LIM, R. Bioaccumulation, biotransformation and trophic transfer of arsenic in the aquatic food chain. </w:t>
      </w:r>
      <w:r w:rsidRPr="002133CE">
        <w:rPr>
          <w:rFonts w:ascii="Times New Roman" w:hAnsi="Times New Roman" w:cs="Times New Roman"/>
          <w:b/>
          <w:bCs/>
          <w:noProof/>
          <w:sz w:val="24"/>
          <w:szCs w:val="24"/>
        </w:rPr>
        <w:t>Environmental Research</w:t>
      </w:r>
      <w:r w:rsidRPr="002133CE">
        <w:rPr>
          <w:rFonts w:ascii="Times New Roman" w:hAnsi="Times New Roman" w:cs="Times New Roman"/>
          <w:noProof/>
          <w:sz w:val="24"/>
          <w:szCs w:val="24"/>
        </w:rPr>
        <w:t>, v. 116, p. 118–135, 2012.</w:t>
      </w:r>
    </w:p>
    <w:p w:rsidR="00674A88" w:rsidRPr="004165FB" w:rsidRDefault="00FA5346" w:rsidP="00551ACA">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BARBOSA, K. B. F. et al. </w:t>
      </w:r>
      <w:r w:rsidRPr="002133CE">
        <w:rPr>
          <w:rFonts w:ascii="Times New Roman" w:hAnsi="Times New Roman" w:cs="Times New Roman"/>
          <w:bCs/>
          <w:noProof/>
          <w:sz w:val="24"/>
          <w:szCs w:val="24"/>
        </w:rPr>
        <w:t>Estresse oxidativo: Conceito, implicações e fatores modulatórios.</w:t>
      </w:r>
      <w:r w:rsidRPr="002133CE">
        <w:rPr>
          <w:rFonts w:ascii="Times New Roman" w:hAnsi="Times New Roman" w:cs="Times New Roman"/>
          <w:b/>
          <w:bCs/>
          <w:noProof/>
          <w:sz w:val="24"/>
          <w:szCs w:val="24"/>
        </w:rPr>
        <w:t xml:space="preserve"> </w:t>
      </w:r>
      <w:r w:rsidRPr="004165FB">
        <w:rPr>
          <w:rFonts w:ascii="Times New Roman" w:hAnsi="Times New Roman" w:cs="Times New Roman"/>
          <w:b/>
          <w:bCs/>
          <w:noProof/>
          <w:sz w:val="24"/>
          <w:szCs w:val="24"/>
          <w:lang w:val="en-US"/>
        </w:rPr>
        <w:t>Revista de Nutrição,</w:t>
      </w:r>
      <w:r w:rsidRPr="004165FB">
        <w:rPr>
          <w:rFonts w:ascii="Times New Roman" w:hAnsi="Times New Roman" w:cs="Times New Roman"/>
          <w:noProof/>
          <w:sz w:val="24"/>
          <w:szCs w:val="24"/>
          <w:lang w:val="en-US"/>
        </w:rPr>
        <w:t xml:space="preserve"> 2010.</w:t>
      </w:r>
    </w:p>
    <w:p w:rsidR="00674A88" w:rsidRPr="004165FB" w:rsidRDefault="00FA5346"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rsidR="00674A88" w:rsidRPr="00B72C3D" w:rsidRDefault="00FA5346"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lastRenderedPageBreak/>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rsidR="00674A88" w:rsidRPr="00255558" w:rsidRDefault="00FA5346"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rsidR="00674A88" w:rsidRPr="00B72C3D" w:rsidRDefault="00FA5346"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rsidR="00674A88" w:rsidRPr="00B72C3D" w:rsidRDefault="00FA5346"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CARLBERG, I.;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rsidR="00674A88" w:rsidRPr="00255558" w:rsidRDefault="00FA5346" w:rsidP="0078441F">
      <w:pPr>
        <w:spacing w:line="360" w:lineRule="auto"/>
        <w:jc w:val="both"/>
        <w:rPr>
          <w:rFonts w:ascii="Times New Roman" w:hAnsi="Times New Roman" w:cs="Times New Roman"/>
          <w:sz w:val="24"/>
          <w:szCs w:val="24"/>
          <w:lang w:val="en-US"/>
        </w:rPr>
      </w:pPr>
      <w:r w:rsidRPr="002133CE">
        <w:rPr>
          <w:rFonts w:ascii="Times New Roman" w:hAnsi="Times New Roman" w:cs="Times New Roman"/>
          <w:sz w:val="24"/>
          <w:szCs w:val="24"/>
        </w:rPr>
        <w:t xml:space="preserve">CARVALHO, C. DOS S. et al. </w:t>
      </w:r>
      <w:r w:rsidRPr="00255558">
        <w:rPr>
          <w:rFonts w:ascii="Times New Roman" w:hAnsi="Times New Roman" w:cs="Times New Roman"/>
          <w:sz w:val="24"/>
          <w:szCs w:val="24"/>
          <w:lang w:val="en-US"/>
        </w:rPr>
        <w:t xml:space="preserve">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rsidR="00674A88" w:rsidRPr="00255558" w:rsidRDefault="00FA5346"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rsidR="00674A88" w:rsidRPr="00255558" w:rsidRDefault="00FA5346"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rsidR="00674A88" w:rsidRPr="00255558" w:rsidRDefault="00FA5346"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rsidR="00674A88" w:rsidRPr="00255558" w:rsidRDefault="00FA5346"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rsidR="00674A88" w:rsidRPr="00255558" w:rsidRDefault="00FA5346"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rsidR="00674A88" w:rsidRPr="00255558" w:rsidRDefault="00FA5346"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rsidR="00674A88" w:rsidRPr="00B72C3D" w:rsidRDefault="00FA5346"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rsidR="00674A88" w:rsidRPr="00255558" w:rsidRDefault="00FA5346"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rsidR="00674A88" w:rsidRPr="00255558" w:rsidRDefault="00FA5346"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rsidR="00674A88" w:rsidRPr="00255558" w:rsidRDefault="00FA5346"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rsidR="00674A88" w:rsidRPr="002133CE" w:rsidRDefault="00FA5346" w:rsidP="003D4B2F">
      <w:pPr>
        <w:pStyle w:val="Textocentralizado"/>
        <w:widowControl w:val="0"/>
        <w:tabs>
          <w:tab w:val="clear" w:pos="9062"/>
        </w:tabs>
        <w:contextualSpacing w:val="0"/>
        <w:jc w:val="both"/>
        <w:outlineLvl w:val="0"/>
        <w:rPr>
          <w:b w:val="0"/>
          <w:szCs w:val="24"/>
          <w:lang w:val="pt-BR"/>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2133CE">
        <w:rPr>
          <w:bCs/>
          <w:noProof/>
          <w:szCs w:val="24"/>
          <w:lang w:val="pt-BR"/>
        </w:rPr>
        <w:t>Toxicology</w:t>
      </w:r>
      <w:r w:rsidRPr="002133CE">
        <w:rPr>
          <w:b w:val="0"/>
          <w:noProof/>
          <w:szCs w:val="24"/>
          <w:lang w:val="pt-BR"/>
        </w:rPr>
        <w:t>, v. 211, n. 1–2, p. 26–35, 2005.</w:t>
      </w:r>
    </w:p>
    <w:p w:rsidR="00674A88" w:rsidRPr="00255558" w:rsidRDefault="00FA5346" w:rsidP="00B06F70">
      <w:pPr>
        <w:spacing w:line="360" w:lineRule="auto"/>
        <w:jc w:val="both"/>
        <w:rPr>
          <w:rFonts w:ascii="Times New Roman" w:hAnsi="Times New Roman" w:cs="Times New Roman"/>
          <w:noProof/>
          <w:sz w:val="24"/>
          <w:szCs w:val="24"/>
          <w:lang w:val="en-US"/>
        </w:rPr>
      </w:pPr>
      <w:r w:rsidRPr="002133CE">
        <w:rPr>
          <w:rFonts w:ascii="Times New Roman" w:hAnsi="Times New Roman" w:cs="Times New Roman"/>
          <w:noProof/>
          <w:sz w:val="24"/>
          <w:szCs w:val="24"/>
        </w:rPr>
        <w:t xml:space="preserve">OLIVEIRA, L. H. B. et al. </w:t>
      </w:r>
      <w:r w:rsidRPr="00255558">
        <w:rPr>
          <w:rFonts w:ascii="Times New Roman" w:hAnsi="Times New Roman" w:cs="Times New Roman"/>
          <w:noProof/>
          <w:sz w:val="24"/>
          <w:szCs w:val="24"/>
          <w:lang w:val="en-US"/>
        </w:rPr>
        <w:t xml:space="preserve">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rsidR="00674A88" w:rsidRPr="00B72C3D" w:rsidRDefault="00FA5346"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rsidR="00674A88" w:rsidRPr="00255558" w:rsidRDefault="00FA5346"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rsidR="00674A88" w:rsidRPr="00255558" w:rsidRDefault="00FA5346"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rsidR="00674A88" w:rsidRPr="00B72C3D" w:rsidRDefault="00FA5346"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w:t>
      </w:r>
      <w:r w:rsidR="004251EE">
        <w:rPr>
          <w:noProof/>
          <w:szCs w:val="24"/>
          <w:lang w:val="en-US"/>
        </w:rPr>
        <w:t xml:space="preserve"> </w:t>
      </w:r>
      <w:r w:rsidRPr="00255558">
        <w:rPr>
          <w:noProof/>
          <w:szCs w:val="24"/>
          <w:lang w:val="en-US"/>
        </w:rPr>
        <w:t>Pharmacology</w:t>
      </w:r>
      <w:r w:rsidRPr="00255558">
        <w:rPr>
          <w:b w:val="0"/>
          <w:noProof/>
          <w:szCs w:val="24"/>
          <w:lang w:val="en-US"/>
        </w:rPr>
        <w:t>, 2003.</w:t>
      </w:r>
    </w:p>
    <w:p w:rsidR="00674A88" w:rsidRPr="00255558" w:rsidRDefault="00FA5346"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rsidR="00674A88" w:rsidRPr="00255558" w:rsidRDefault="00FA5346"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rsidR="00674A88" w:rsidRPr="00255558" w:rsidRDefault="00FA5346"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rsidR="00674A88" w:rsidRPr="00255558" w:rsidRDefault="00FA5346"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rsidR="0078441F" w:rsidRDefault="0078441F" w:rsidP="007501DD">
      <w:pPr>
        <w:spacing w:line="360" w:lineRule="auto"/>
        <w:jc w:val="both"/>
        <w:rPr>
          <w:rFonts w:ascii="Times New Roman" w:hAnsi="Times New Roman" w:cs="Times New Roman"/>
          <w:sz w:val="24"/>
          <w:szCs w:val="24"/>
          <w:lang w:val="en-US"/>
        </w:rPr>
      </w:pPr>
    </w:p>
    <w:p w:rsidR="00440146" w:rsidRPr="00255558" w:rsidRDefault="00440146" w:rsidP="007501DD">
      <w:pPr>
        <w:spacing w:line="360" w:lineRule="auto"/>
        <w:jc w:val="both"/>
        <w:rPr>
          <w:rFonts w:ascii="Times New Roman" w:hAnsi="Times New Roman" w:cs="Times New Roman"/>
          <w:sz w:val="24"/>
          <w:szCs w:val="24"/>
          <w:lang w:val="en-US"/>
        </w:rPr>
      </w:pPr>
      <w:r>
        <w:rPr>
          <w:rFonts w:ascii="Arial" w:hAnsi="Arial" w:cs="Arial"/>
          <w:color w:val="202124"/>
          <w:sz w:val="20"/>
          <w:szCs w:val="20"/>
          <w:shd w:val="clear" w:color="auto" w:fill="FFFFFF"/>
        </w:rPr>
        <w:t xml:space="preserve">MINI REVIEW </w:t>
      </w:r>
      <w:proofErr w:type="spellStart"/>
      <w:r>
        <w:rPr>
          <w:rFonts w:ascii="Arial" w:hAnsi="Arial" w:cs="Arial"/>
          <w:color w:val="202124"/>
          <w:sz w:val="20"/>
          <w:szCs w:val="20"/>
          <w:shd w:val="clear" w:color="auto" w:fill="FFFFFF"/>
        </w:rPr>
        <w:t>article</w:t>
      </w:r>
      <w:proofErr w:type="spellEnd"/>
      <w:r>
        <w:rPr>
          <w:rFonts w:ascii="Arial" w:hAnsi="Arial" w:cs="Arial"/>
          <w:color w:val="202124"/>
          <w:sz w:val="20"/>
          <w:szCs w:val="20"/>
          <w:shd w:val="clear" w:color="auto" w:fill="FFFFFF"/>
        </w:rPr>
        <w:t xml:space="preserve"> Front. </w:t>
      </w:r>
      <w:proofErr w:type="spellStart"/>
      <w:r>
        <w:rPr>
          <w:rFonts w:ascii="Arial" w:hAnsi="Arial" w:cs="Arial"/>
          <w:color w:val="202124"/>
          <w:sz w:val="20"/>
          <w:szCs w:val="20"/>
          <w:shd w:val="clear" w:color="auto" w:fill="FFFFFF"/>
        </w:rPr>
        <w:t>Physiol</w:t>
      </w:r>
      <w:proofErr w:type="spellEnd"/>
      <w:r>
        <w:rPr>
          <w:rFonts w:ascii="Arial" w:hAnsi="Arial" w:cs="Arial"/>
          <w:color w:val="202124"/>
          <w:sz w:val="20"/>
          <w:szCs w:val="20"/>
          <w:shd w:val="clear" w:color="auto" w:fill="FFFFFF"/>
        </w:rPr>
        <w:t xml:space="preserve">., 26 July 2011 Sec. Aquatic </w:t>
      </w:r>
      <w:proofErr w:type="spellStart"/>
      <w:r>
        <w:rPr>
          <w:rFonts w:ascii="Arial" w:hAnsi="Arial" w:cs="Arial"/>
          <w:color w:val="202124"/>
          <w:sz w:val="20"/>
          <w:szCs w:val="20"/>
          <w:shd w:val="clear" w:color="auto" w:fill="FFFFFF"/>
        </w:rPr>
        <w:t>Physiology</w:t>
      </w:r>
      <w:proofErr w:type="spellEnd"/>
      <w:r>
        <w:rPr>
          <w:rFonts w:ascii="Arial" w:hAnsi="Arial" w:cs="Arial"/>
          <w:color w:val="202124"/>
          <w:sz w:val="20"/>
          <w:szCs w:val="20"/>
          <w:shd w:val="clear" w:color="auto" w:fill="FFFFFF"/>
        </w:rPr>
        <w:t xml:space="preserve"> </w:t>
      </w:r>
      <w:hyperlink r:id="rId36" w:tgtFrame="_blank" w:history="1">
        <w:r>
          <w:rPr>
            <w:rStyle w:val="Hyperlink"/>
            <w:rFonts w:ascii="Arial" w:hAnsi="Arial" w:cs="Arial"/>
            <w:color w:val="1967D2"/>
            <w:sz w:val="20"/>
            <w:szCs w:val="20"/>
            <w:shd w:val="clear" w:color="auto" w:fill="FFFFFF"/>
          </w:rPr>
          <w:t>https://doi.org/10.3389/fphys.2011.00044</w:t>
        </w:r>
      </w:hyperlink>
      <w:bookmarkStart w:id="3" w:name="_GoBack"/>
      <w:bookmarkEnd w:id="3"/>
    </w:p>
    <w:p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rsidR="00D05609" w:rsidRPr="00B72C3D" w:rsidRDefault="00D05609" w:rsidP="00D05609">
      <w:pPr>
        <w:spacing w:line="360" w:lineRule="auto"/>
        <w:jc w:val="both"/>
        <w:rPr>
          <w:rFonts w:ascii="Times New Roman" w:hAnsi="Times New Roman" w:cs="Times New Roman"/>
          <w:bCs/>
          <w:noProof/>
          <w:sz w:val="24"/>
          <w:szCs w:val="24"/>
          <w:lang w:val="en-US"/>
        </w:rPr>
      </w:pPr>
    </w:p>
    <w:p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CDE0B7B8">
      <w:start w:val="1"/>
      <w:numFmt w:val="upperLetter"/>
      <w:lvlText w:val="%1)"/>
      <w:lvlJc w:val="left"/>
      <w:pPr>
        <w:ind w:left="1080" w:hanging="360"/>
      </w:pPr>
      <w:rPr>
        <w:rFonts w:hint="default"/>
      </w:rPr>
    </w:lvl>
    <w:lvl w:ilvl="1" w:tplc="B30C42C4" w:tentative="1">
      <w:start w:val="1"/>
      <w:numFmt w:val="lowerLetter"/>
      <w:lvlText w:val="%2."/>
      <w:lvlJc w:val="left"/>
      <w:pPr>
        <w:ind w:left="1800" w:hanging="360"/>
      </w:pPr>
    </w:lvl>
    <w:lvl w:ilvl="2" w:tplc="E15416EC" w:tentative="1">
      <w:start w:val="1"/>
      <w:numFmt w:val="lowerRoman"/>
      <w:lvlText w:val="%3."/>
      <w:lvlJc w:val="right"/>
      <w:pPr>
        <w:ind w:left="2520" w:hanging="180"/>
      </w:pPr>
    </w:lvl>
    <w:lvl w:ilvl="3" w:tplc="E502338C" w:tentative="1">
      <w:start w:val="1"/>
      <w:numFmt w:val="decimal"/>
      <w:lvlText w:val="%4."/>
      <w:lvlJc w:val="left"/>
      <w:pPr>
        <w:ind w:left="3240" w:hanging="360"/>
      </w:pPr>
    </w:lvl>
    <w:lvl w:ilvl="4" w:tplc="CE7AD3CC" w:tentative="1">
      <w:start w:val="1"/>
      <w:numFmt w:val="lowerLetter"/>
      <w:lvlText w:val="%5."/>
      <w:lvlJc w:val="left"/>
      <w:pPr>
        <w:ind w:left="3960" w:hanging="360"/>
      </w:pPr>
    </w:lvl>
    <w:lvl w:ilvl="5" w:tplc="DCD43EE6" w:tentative="1">
      <w:start w:val="1"/>
      <w:numFmt w:val="lowerRoman"/>
      <w:lvlText w:val="%6."/>
      <w:lvlJc w:val="right"/>
      <w:pPr>
        <w:ind w:left="4680" w:hanging="180"/>
      </w:pPr>
    </w:lvl>
    <w:lvl w:ilvl="6" w:tplc="7C5EAA3C" w:tentative="1">
      <w:start w:val="1"/>
      <w:numFmt w:val="decimal"/>
      <w:lvlText w:val="%7."/>
      <w:lvlJc w:val="left"/>
      <w:pPr>
        <w:ind w:left="5400" w:hanging="360"/>
      </w:pPr>
    </w:lvl>
    <w:lvl w:ilvl="7" w:tplc="639CC18C" w:tentative="1">
      <w:start w:val="1"/>
      <w:numFmt w:val="lowerLetter"/>
      <w:lvlText w:val="%8."/>
      <w:lvlJc w:val="left"/>
      <w:pPr>
        <w:ind w:left="6120" w:hanging="360"/>
      </w:pPr>
    </w:lvl>
    <w:lvl w:ilvl="8" w:tplc="C48CE378"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E4AACFC2">
      <w:start w:val="1"/>
      <w:numFmt w:val="upperLetter"/>
      <w:lvlText w:val="%1)"/>
      <w:lvlJc w:val="left"/>
      <w:pPr>
        <w:ind w:left="720" w:hanging="360"/>
      </w:pPr>
      <w:rPr>
        <w:rFonts w:hint="default"/>
      </w:rPr>
    </w:lvl>
    <w:lvl w:ilvl="1" w:tplc="E5C67724" w:tentative="1">
      <w:start w:val="1"/>
      <w:numFmt w:val="lowerLetter"/>
      <w:lvlText w:val="%2."/>
      <w:lvlJc w:val="left"/>
      <w:pPr>
        <w:ind w:left="1440" w:hanging="360"/>
      </w:pPr>
    </w:lvl>
    <w:lvl w:ilvl="2" w:tplc="1BB8D304" w:tentative="1">
      <w:start w:val="1"/>
      <w:numFmt w:val="lowerRoman"/>
      <w:lvlText w:val="%3."/>
      <w:lvlJc w:val="right"/>
      <w:pPr>
        <w:ind w:left="2160" w:hanging="180"/>
      </w:pPr>
    </w:lvl>
    <w:lvl w:ilvl="3" w:tplc="F8F0BC84" w:tentative="1">
      <w:start w:val="1"/>
      <w:numFmt w:val="decimal"/>
      <w:lvlText w:val="%4."/>
      <w:lvlJc w:val="left"/>
      <w:pPr>
        <w:ind w:left="2880" w:hanging="360"/>
      </w:pPr>
    </w:lvl>
    <w:lvl w:ilvl="4" w:tplc="9A36A128" w:tentative="1">
      <w:start w:val="1"/>
      <w:numFmt w:val="lowerLetter"/>
      <w:lvlText w:val="%5."/>
      <w:lvlJc w:val="left"/>
      <w:pPr>
        <w:ind w:left="3600" w:hanging="360"/>
      </w:pPr>
    </w:lvl>
    <w:lvl w:ilvl="5" w:tplc="E8048304" w:tentative="1">
      <w:start w:val="1"/>
      <w:numFmt w:val="lowerRoman"/>
      <w:lvlText w:val="%6."/>
      <w:lvlJc w:val="right"/>
      <w:pPr>
        <w:ind w:left="4320" w:hanging="180"/>
      </w:pPr>
    </w:lvl>
    <w:lvl w:ilvl="6" w:tplc="C9AA36B8" w:tentative="1">
      <w:start w:val="1"/>
      <w:numFmt w:val="decimal"/>
      <w:lvlText w:val="%7."/>
      <w:lvlJc w:val="left"/>
      <w:pPr>
        <w:ind w:left="5040" w:hanging="360"/>
      </w:pPr>
    </w:lvl>
    <w:lvl w:ilvl="7" w:tplc="77707CBC" w:tentative="1">
      <w:start w:val="1"/>
      <w:numFmt w:val="lowerLetter"/>
      <w:lvlText w:val="%8."/>
      <w:lvlJc w:val="left"/>
      <w:pPr>
        <w:ind w:left="5760" w:hanging="360"/>
      </w:pPr>
    </w:lvl>
    <w:lvl w:ilvl="8" w:tplc="AA4A6258"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E932B64C">
      <w:start w:val="1"/>
      <w:numFmt w:val="upperLetter"/>
      <w:lvlText w:val="%1)"/>
      <w:lvlJc w:val="left"/>
      <w:pPr>
        <w:ind w:left="720" w:hanging="360"/>
      </w:pPr>
      <w:rPr>
        <w:rFonts w:hint="default"/>
      </w:rPr>
    </w:lvl>
    <w:lvl w:ilvl="1" w:tplc="F432ACAA" w:tentative="1">
      <w:start w:val="1"/>
      <w:numFmt w:val="lowerLetter"/>
      <w:lvlText w:val="%2."/>
      <w:lvlJc w:val="left"/>
      <w:pPr>
        <w:ind w:left="1440" w:hanging="360"/>
      </w:pPr>
    </w:lvl>
    <w:lvl w:ilvl="2" w:tplc="A36AA5A6" w:tentative="1">
      <w:start w:val="1"/>
      <w:numFmt w:val="lowerRoman"/>
      <w:lvlText w:val="%3."/>
      <w:lvlJc w:val="right"/>
      <w:pPr>
        <w:ind w:left="2160" w:hanging="180"/>
      </w:pPr>
    </w:lvl>
    <w:lvl w:ilvl="3" w:tplc="428E9FA4" w:tentative="1">
      <w:start w:val="1"/>
      <w:numFmt w:val="decimal"/>
      <w:lvlText w:val="%4."/>
      <w:lvlJc w:val="left"/>
      <w:pPr>
        <w:ind w:left="2880" w:hanging="360"/>
      </w:pPr>
    </w:lvl>
    <w:lvl w:ilvl="4" w:tplc="D5D28A52" w:tentative="1">
      <w:start w:val="1"/>
      <w:numFmt w:val="lowerLetter"/>
      <w:lvlText w:val="%5."/>
      <w:lvlJc w:val="left"/>
      <w:pPr>
        <w:ind w:left="3600" w:hanging="360"/>
      </w:pPr>
    </w:lvl>
    <w:lvl w:ilvl="5" w:tplc="CE54FEDC" w:tentative="1">
      <w:start w:val="1"/>
      <w:numFmt w:val="lowerRoman"/>
      <w:lvlText w:val="%6."/>
      <w:lvlJc w:val="right"/>
      <w:pPr>
        <w:ind w:left="4320" w:hanging="180"/>
      </w:pPr>
    </w:lvl>
    <w:lvl w:ilvl="6" w:tplc="C6986282" w:tentative="1">
      <w:start w:val="1"/>
      <w:numFmt w:val="decimal"/>
      <w:lvlText w:val="%7."/>
      <w:lvlJc w:val="left"/>
      <w:pPr>
        <w:ind w:left="5040" w:hanging="360"/>
      </w:pPr>
    </w:lvl>
    <w:lvl w:ilvl="7" w:tplc="7C3A3E38" w:tentative="1">
      <w:start w:val="1"/>
      <w:numFmt w:val="lowerLetter"/>
      <w:lvlText w:val="%8."/>
      <w:lvlJc w:val="left"/>
      <w:pPr>
        <w:ind w:left="5760" w:hanging="360"/>
      </w:pPr>
    </w:lvl>
    <w:lvl w:ilvl="8" w:tplc="5D6C945E"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858E374C">
      <w:start w:val="1"/>
      <w:numFmt w:val="upperLetter"/>
      <w:lvlText w:val="%1)"/>
      <w:lvlJc w:val="left"/>
      <w:pPr>
        <w:ind w:left="720" w:hanging="360"/>
      </w:pPr>
      <w:rPr>
        <w:rFonts w:hint="default"/>
        <w:b w:val="0"/>
      </w:rPr>
    </w:lvl>
    <w:lvl w:ilvl="1" w:tplc="CD62BF68" w:tentative="1">
      <w:start w:val="1"/>
      <w:numFmt w:val="lowerLetter"/>
      <w:lvlText w:val="%2."/>
      <w:lvlJc w:val="left"/>
      <w:pPr>
        <w:ind w:left="1440" w:hanging="360"/>
      </w:pPr>
    </w:lvl>
    <w:lvl w:ilvl="2" w:tplc="B0B6BE78" w:tentative="1">
      <w:start w:val="1"/>
      <w:numFmt w:val="lowerRoman"/>
      <w:lvlText w:val="%3."/>
      <w:lvlJc w:val="right"/>
      <w:pPr>
        <w:ind w:left="2160" w:hanging="180"/>
      </w:pPr>
    </w:lvl>
    <w:lvl w:ilvl="3" w:tplc="AE660E70" w:tentative="1">
      <w:start w:val="1"/>
      <w:numFmt w:val="decimal"/>
      <w:lvlText w:val="%4."/>
      <w:lvlJc w:val="left"/>
      <w:pPr>
        <w:ind w:left="2880" w:hanging="360"/>
      </w:pPr>
    </w:lvl>
    <w:lvl w:ilvl="4" w:tplc="5E2C1D54" w:tentative="1">
      <w:start w:val="1"/>
      <w:numFmt w:val="lowerLetter"/>
      <w:lvlText w:val="%5."/>
      <w:lvlJc w:val="left"/>
      <w:pPr>
        <w:ind w:left="3600" w:hanging="360"/>
      </w:pPr>
    </w:lvl>
    <w:lvl w:ilvl="5" w:tplc="6B90D6AA" w:tentative="1">
      <w:start w:val="1"/>
      <w:numFmt w:val="lowerRoman"/>
      <w:lvlText w:val="%6."/>
      <w:lvlJc w:val="right"/>
      <w:pPr>
        <w:ind w:left="4320" w:hanging="180"/>
      </w:pPr>
    </w:lvl>
    <w:lvl w:ilvl="6" w:tplc="B2D4E60C" w:tentative="1">
      <w:start w:val="1"/>
      <w:numFmt w:val="decimal"/>
      <w:lvlText w:val="%7."/>
      <w:lvlJc w:val="left"/>
      <w:pPr>
        <w:ind w:left="5040" w:hanging="360"/>
      </w:pPr>
    </w:lvl>
    <w:lvl w:ilvl="7" w:tplc="FEF6E9B0" w:tentative="1">
      <w:start w:val="1"/>
      <w:numFmt w:val="lowerLetter"/>
      <w:lvlText w:val="%8."/>
      <w:lvlJc w:val="left"/>
      <w:pPr>
        <w:ind w:left="5760" w:hanging="360"/>
      </w:pPr>
    </w:lvl>
    <w:lvl w:ilvl="8" w:tplc="89029370"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0B02AA8A">
      <w:start w:val="1"/>
      <w:numFmt w:val="upperLetter"/>
      <w:lvlText w:val="%1)"/>
      <w:lvlJc w:val="left"/>
      <w:pPr>
        <w:ind w:left="720" w:hanging="360"/>
      </w:pPr>
      <w:rPr>
        <w:rFonts w:hint="default"/>
      </w:rPr>
    </w:lvl>
    <w:lvl w:ilvl="1" w:tplc="ED2668EE" w:tentative="1">
      <w:start w:val="1"/>
      <w:numFmt w:val="lowerLetter"/>
      <w:lvlText w:val="%2."/>
      <w:lvlJc w:val="left"/>
      <w:pPr>
        <w:ind w:left="1440" w:hanging="360"/>
      </w:pPr>
    </w:lvl>
    <w:lvl w:ilvl="2" w:tplc="D1DA328A" w:tentative="1">
      <w:start w:val="1"/>
      <w:numFmt w:val="lowerRoman"/>
      <w:lvlText w:val="%3."/>
      <w:lvlJc w:val="right"/>
      <w:pPr>
        <w:ind w:left="2160" w:hanging="180"/>
      </w:pPr>
    </w:lvl>
    <w:lvl w:ilvl="3" w:tplc="1F50919A" w:tentative="1">
      <w:start w:val="1"/>
      <w:numFmt w:val="decimal"/>
      <w:lvlText w:val="%4."/>
      <w:lvlJc w:val="left"/>
      <w:pPr>
        <w:ind w:left="2880" w:hanging="360"/>
      </w:pPr>
    </w:lvl>
    <w:lvl w:ilvl="4" w:tplc="67CEA6BC" w:tentative="1">
      <w:start w:val="1"/>
      <w:numFmt w:val="lowerLetter"/>
      <w:lvlText w:val="%5."/>
      <w:lvlJc w:val="left"/>
      <w:pPr>
        <w:ind w:left="3600" w:hanging="360"/>
      </w:pPr>
    </w:lvl>
    <w:lvl w:ilvl="5" w:tplc="E612C268" w:tentative="1">
      <w:start w:val="1"/>
      <w:numFmt w:val="lowerRoman"/>
      <w:lvlText w:val="%6."/>
      <w:lvlJc w:val="right"/>
      <w:pPr>
        <w:ind w:left="4320" w:hanging="180"/>
      </w:pPr>
    </w:lvl>
    <w:lvl w:ilvl="6" w:tplc="AB30E6F6" w:tentative="1">
      <w:start w:val="1"/>
      <w:numFmt w:val="decimal"/>
      <w:lvlText w:val="%7."/>
      <w:lvlJc w:val="left"/>
      <w:pPr>
        <w:ind w:left="5040" w:hanging="360"/>
      </w:pPr>
    </w:lvl>
    <w:lvl w:ilvl="7" w:tplc="EB4C8614" w:tentative="1">
      <w:start w:val="1"/>
      <w:numFmt w:val="lowerLetter"/>
      <w:lvlText w:val="%8."/>
      <w:lvlJc w:val="left"/>
      <w:pPr>
        <w:ind w:left="5760" w:hanging="360"/>
      </w:pPr>
    </w:lvl>
    <w:lvl w:ilvl="8" w:tplc="322C2E2E"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1E41"/>
    <w:rsid w:val="000425AA"/>
    <w:rsid w:val="00043E86"/>
    <w:rsid w:val="00044B06"/>
    <w:rsid w:val="000548DA"/>
    <w:rsid w:val="00054A1B"/>
    <w:rsid w:val="00057CFD"/>
    <w:rsid w:val="00060257"/>
    <w:rsid w:val="00065B38"/>
    <w:rsid w:val="00075DC7"/>
    <w:rsid w:val="0007787F"/>
    <w:rsid w:val="00082F7A"/>
    <w:rsid w:val="000843D9"/>
    <w:rsid w:val="000905DB"/>
    <w:rsid w:val="00097AC3"/>
    <w:rsid w:val="000C1310"/>
    <w:rsid w:val="000C58C1"/>
    <w:rsid w:val="000D3DEC"/>
    <w:rsid w:val="000D5179"/>
    <w:rsid w:val="000D667A"/>
    <w:rsid w:val="000E14B7"/>
    <w:rsid w:val="000E6F69"/>
    <w:rsid w:val="000F123D"/>
    <w:rsid w:val="000F44DA"/>
    <w:rsid w:val="0012021B"/>
    <w:rsid w:val="001250FB"/>
    <w:rsid w:val="00127671"/>
    <w:rsid w:val="00132BEE"/>
    <w:rsid w:val="00145E90"/>
    <w:rsid w:val="00146F8A"/>
    <w:rsid w:val="001501F9"/>
    <w:rsid w:val="00152544"/>
    <w:rsid w:val="00153C7C"/>
    <w:rsid w:val="00153FB9"/>
    <w:rsid w:val="00156C83"/>
    <w:rsid w:val="001666CF"/>
    <w:rsid w:val="001B06DF"/>
    <w:rsid w:val="001B287E"/>
    <w:rsid w:val="001B39F8"/>
    <w:rsid w:val="001C7681"/>
    <w:rsid w:val="001C779B"/>
    <w:rsid w:val="001D627B"/>
    <w:rsid w:val="001E26EF"/>
    <w:rsid w:val="001E5846"/>
    <w:rsid w:val="001F0CBF"/>
    <w:rsid w:val="001F54BD"/>
    <w:rsid w:val="002008C5"/>
    <w:rsid w:val="00200D05"/>
    <w:rsid w:val="0021236E"/>
    <w:rsid w:val="002133CE"/>
    <w:rsid w:val="00214421"/>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018D"/>
    <w:rsid w:val="002B14CB"/>
    <w:rsid w:val="002B35A8"/>
    <w:rsid w:val="002B51B8"/>
    <w:rsid w:val="002B6058"/>
    <w:rsid w:val="002C0A79"/>
    <w:rsid w:val="002D2E82"/>
    <w:rsid w:val="002D4CBD"/>
    <w:rsid w:val="002D4FA3"/>
    <w:rsid w:val="0031512C"/>
    <w:rsid w:val="00316C46"/>
    <w:rsid w:val="0032691F"/>
    <w:rsid w:val="0032729D"/>
    <w:rsid w:val="00334092"/>
    <w:rsid w:val="0035205E"/>
    <w:rsid w:val="00362E5B"/>
    <w:rsid w:val="0037374D"/>
    <w:rsid w:val="00382782"/>
    <w:rsid w:val="00393026"/>
    <w:rsid w:val="0039722E"/>
    <w:rsid w:val="003A215E"/>
    <w:rsid w:val="003A32A7"/>
    <w:rsid w:val="003A45B3"/>
    <w:rsid w:val="003A472A"/>
    <w:rsid w:val="003B1A25"/>
    <w:rsid w:val="003C18DA"/>
    <w:rsid w:val="003D0A0D"/>
    <w:rsid w:val="003D4B2F"/>
    <w:rsid w:val="003E4375"/>
    <w:rsid w:val="003F2372"/>
    <w:rsid w:val="003F6A9C"/>
    <w:rsid w:val="00405F3B"/>
    <w:rsid w:val="004165FB"/>
    <w:rsid w:val="00417E98"/>
    <w:rsid w:val="00420BD7"/>
    <w:rsid w:val="0042275F"/>
    <w:rsid w:val="004251EE"/>
    <w:rsid w:val="00433E85"/>
    <w:rsid w:val="004374B6"/>
    <w:rsid w:val="00440146"/>
    <w:rsid w:val="00440D21"/>
    <w:rsid w:val="00443E92"/>
    <w:rsid w:val="00444885"/>
    <w:rsid w:val="00445C7B"/>
    <w:rsid w:val="0045541F"/>
    <w:rsid w:val="0045626D"/>
    <w:rsid w:val="00461ACF"/>
    <w:rsid w:val="00474338"/>
    <w:rsid w:val="00475BB5"/>
    <w:rsid w:val="0048197D"/>
    <w:rsid w:val="004910C1"/>
    <w:rsid w:val="00495518"/>
    <w:rsid w:val="004B1BD9"/>
    <w:rsid w:val="004C04A3"/>
    <w:rsid w:val="004D2110"/>
    <w:rsid w:val="004D645A"/>
    <w:rsid w:val="004D72BE"/>
    <w:rsid w:val="004F3C2B"/>
    <w:rsid w:val="004F4E0A"/>
    <w:rsid w:val="004F7F20"/>
    <w:rsid w:val="00527DEE"/>
    <w:rsid w:val="00535680"/>
    <w:rsid w:val="00543504"/>
    <w:rsid w:val="00545859"/>
    <w:rsid w:val="00551ACA"/>
    <w:rsid w:val="005538AC"/>
    <w:rsid w:val="00555E7A"/>
    <w:rsid w:val="00562968"/>
    <w:rsid w:val="00576306"/>
    <w:rsid w:val="005A0530"/>
    <w:rsid w:val="005A7C08"/>
    <w:rsid w:val="005B2ABB"/>
    <w:rsid w:val="005B723A"/>
    <w:rsid w:val="005C6203"/>
    <w:rsid w:val="005D0A64"/>
    <w:rsid w:val="005D1A88"/>
    <w:rsid w:val="005E018E"/>
    <w:rsid w:val="005E2EA4"/>
    <w:rsid w:val="005E4AC2"/>
    <w:rsid w:val="005F725B"/>
    <w:rsid w:val="006019A9"/>
    <w:rsid w:val="00602696"/>
    <w:rsid w:val="00602921"/>
    <w:rsid w:val="006051ED"/>
    <w:rsid w:val="00611BA1"/>
    <w:rsid w:val="00613867"/>
    <w:rsid w:val="006158BE"/>
    <w:rsid w:val="006213DC"/>
    <w:rsid w:val="00630552"/>
    <w:rsid w:val="00630A54"/>
    <w:rsid w:val="00635F35"/>
    <w:rsid w:val="00637E76"/>
    <w:rsid w:val="006566D6"/>
    <w:rsid w:val="00661219"/>
    <w:rsid w:val="00674A88"/>
    <w:rsid w:val="006769B2"/>
    <w:rsid w:val="00680D64"/>
    <w:rsid w:val="00684326"/>
    <w:rsid w:val="00693E68"/>
    <w:rsid w:val="006961A7"/>
    <w:rsid w:val="006A3A99"/>
    <w:rsid w:val="006A55E8"/>
    <w:rsid w:val="006B0180"/>
    <w:rsid w:val="006B42D2"/>
    <w:rsid w:val="006B50E9"/>
    <w:rsid w:val="006B56EC"/>
    <w:rsid w:val="006C0429"/>
    <w:rsid w:val="006D0E60"/>
    <w:rsid w:val="006E1E1A"/>
    <w:rsid w:val="006E40A0"/>
    <w:rsid w:val="006E7651"/>
    <w:rsid w:val="006E7A53"/>
    <w:rsid w:val="006F2697"/>
    <w:rsid w:val="007069F1"/>
    <w:rsid w:val="00706D89"/>
    <w:rsid w:val="00717F49"/>
    <w:rsid w:val="00720BF6"/>
    <w:rsid w:val="00724548"/>
    <w:rsid w:val="007249C0"/>
    <w:rsid w:val="007265D1"/>
    <w:rsid w:val="00732E5E"/>
    <w:rsid w:val="00733CD9"/>
    <w:rsid w:val="00734F64"/>
    <w:rsid w:val="00744A72"/>
    <w:rsid w:val="007501DD"/>
    <w:rsid w:val="007658AD"/>
    <w:rsid w:val="00766B70"/>
    <w:rsid w:val="00772822"/>
    <w:rsid w:val="0077606E"/>
    <w:rsid w:val="007831B6"/>
    <w:rsid w:val="0078441F"/>
    <w:rsid w:val="00787453"/>
    <w:rsid w:val="0079154C"/>
    <w:rsid w:val="007A6849"/>
    <w:rsid w:val="007B6716"/>
    <w:rsid w:val="007C435D"/>
    <w:rsid w:val="007D096C"/>
    <w:rsid w:val="007D146D"/>
    <w:rsid w:val="007D7E03"/>
    <w:rsid w:val="007E15CD"/>
    <w:rsid w:val="007E4D83"/>
    <w:rsid w:val="007E6B68"/>
    <w:rsid w:val="007F6A5C"/>
    <w:rsid w:val="0080530C"/>
    <w:rsid w:val="00810809"/>
    <w:rsid w:val="0081240F"/>
    <w:rsid w:val="00816BFD"/>
    <w:rsid w:val="008324AC"/>
    <w:rsid w:val="0083546C"/>
    <w:rsid w:val="00844F72"/>
    <w:rsid w:val="00855E1E"/>
    <w:rsid w:val="00856FAE"/>
    <w:rsid w:val="008627B2"/>
    <w:rsid w:val="00870223"/>
    <w:rsid w:val="0087576F"/>
    <w:rsid w:val="0088236D"/>
    <w:rsid w:val="008875B7"/>
    <w:rsid w:val="008973A6"/>
    <w:rsid w:val="008C09AD"/>
    <w:rsid w:val="008C1908"/>
    <w:rsid w:val="008E03E9"/>
    <w:rsid w:val="008E42BB"/>
    <w:rsid w:val="008F5184"/>
    <w:rsid w:val="008F7595"/>
    <w:rsid w:val="009014C6"/>
    <w:rsid w:val="009043F2"/>
    <w:rsid w:val="00905D24"/>
    <w:rsid w:val="00912AD3"/>
    <w:rsid w:val="009149D9"/>
    <w:rsid w:val="00915436"/>
    <w:rsid w:val="009213DC"/>
    <w:rsid w:val="00923643"/>
    <w:rsid w:val="00934AE4"/>
    <w:rsid w:val="009409BC"/>
    <w:rsid w:val="009631E3"/>
    <w:rsid w:val="00963B0E"/>
    <w:rsid w:val="00965680"/>
    <w:rsid w:val="00974AC2"/>
    <w:rsid w:val="00976281"/>
    <w:rsid w:val="00980EEA"/>
    <w:rsid w:val="0099726D"/>
    <w:rsid w:val="009B1A31"/>
    <w:rsid w:val="009B2E49"/>
    <w:rsid w:val="009C2FA0"/>
    <w:rsid w:val="009E7DB8"/>
    <w:rsid w:val="009F0421"/>
    <w:rsid w:val="009F14E3"/>
    <w:rsid w:val="00A01483"/>
    <w:rsid w:val="00A01659"/>
    <w:rsid w:val="00A31270"/>
    <w:rsid w:val="00A40609"/>
    <w:rsid w:val="00A41291"/>
    <w:rsid w:val="00A62A51"/>
    <w:rsid w:val="00A6524C"/>
    <w:rsid w:val="00A65590"/>
    <w:rsid w:val="00A70E31"/>
    <w:rsid w:val="00A74AB9"/>
    <w:rsid w:val="00A760EC"/>
    <w:rsid w:val="00A82267"/>
    <w:rsid w:val="00A9038B"/>
    <w:rsid w:val="00A96560"/>
    <w:rsid w:val="00AA3862"/>
    <w:rsid w:val="00AB2B12"/>
    <w:rsid w:val="00AB545D"/>
    <w:rsid w:val="00AC008A"/>
    <w:rsid w:val="00AC6A07"/>
    <w:rsid w:val="00AD06B1"/>
    <w:rsid w:val="00AD3AAA"/>
    <w:rsid w:val="00AD3B88"/>
    <w:rsid w:val="00AD5068"/>
    <w:rsid w:val="00AF61FB"/>
    <w:rsid w:val="00B013E0"/>
    <w:rsid w:val="00B030F2"/>
    <w:rsid w:val="00B06F70"/>
    <w:rsid w:val="00B138BB"/>
    <w:rsid w:val="00B179D8"/>
    <w:rsid w:val="00B17E8A"/>
    <w:rsid w:val="00B205A7"/>
    <w:rsid w:val="00B261DF"/>
    <w:rsid w:val="00B262BF"/>
    <w:rsid w:val="00B34499"/>
    <w:rsid w:val="00B452CE"/>
    <w:rsid w:val="00B4626F"/>
    <w:rsid w:val="00B5770A"/>
    <w:rsid w:val="00B57EB8"/>
    <w:rsid w:val="00B7021E"/>
    <w:rsid w:val="00B72C3D"/>
    <w:rsid w:val="00B72D6A"/>
    <w:rsid w:val="00B815BD"/>
    <w:rsid w:val="00B82782"/>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2A5E"/>
    <w:rsid w:val="00C66B24"/>
    <w:rsid w:val="00C73D9B"/>
    <w:rsid w:val="00C84F69"/>
    <w:rsid w:val="00C95B4F"/>
    <w:rsid w:val="00CB3555"/>
    <w:rsid w:val="00CC1330"/>
    <w:rsid w:val="00CD02D3"/>
    <w:rsid w:val="00CD0611"/>
    <w:rsid w:val="00CD0AF5"/>
    <w:rsid w:val="00CD141A"/>
    <w:rsid w:val="00D05609"/>
    <w:rsid w:val="00D138C6"/>
    <w:rsid w:val="00D14782"/>
    <w:rsid w:val="00D17944"/>
    <w:rsid w:val="00D17BE3"/>
    <w:rsid w:val="00D22802"/>
    <w:rsid w:val="00D322E8"/>
    <w:rsid w:val="00D33CDB"/>
    <w:rsid w:val="00D3432B"/>
    <w:rsid w:val="00D50A0D"/>
    <w:rsid w:val="00D520C9"/>
    <w:rsid w:val="00D65A0E"/>
    <w:rsid w:val="00D80B24"/>
    <w:rsid w:val="00D8262D"/>
    <w:rsid w:val="00D843CF"/>
    <w:rsid w:val="00D93FB7"/>
    <w:rsid w:val="00DB1A43"/>
    <w:rsid w:val="00DB47C6"/>
    <w:rsid w:val="00DD5C77"/>
    <w:rsid w:val="00DE3228"/>
    <w:rsid w:val="00DE7270"/>
    <w:rsid w:val="00DF0540"/>
    <w:rsid w:val="00DF5317"/>
    <w:rsid w:val="00DF73CF"/>
    <w:rsid w:val="00E01AF2"/>
    <w:rsid w:val="00E10938"/>
    <w:rsid w:val="00E155C2"/>
    <w:rsid w:val="00E16432"/>
    <w:rsid w:val="00E2134E"/>
    <w:rsid w:val="00E24D0A"/>
    <w:rsid w:val="00E3438B"/>
    <w:rsid w:val="00E34D75"/>
    <w:rsid w:val="00E3619C"/>
    <w:rsid w:val="00E41C4A"/>
    <w:rsid w:val="00E45909"/>
    <w:rsid w:val="00E46611"/>
    <w:rsid w:val="00E6034F"/>
    <w:rsid w:val="00E632CD"/>
    <w:rsid w:val="00E675D8"/>
    <w:rsid w:val="00E70BEF"/>
    <w:rsid w:val="00E81881"/>
    <w:rsid w:val="00E85610"/>
    <w:rsid w:val="00E870C1"/>
    <w:rsid w:val="00EA58B6"/>
    <w:rsid w:val="00EB4404"/>
    <w:rsid w:val="00EC2AA5"/>
    <w:rsid w:val="00EC2CF1"/>
    <w:rsid w:val="00EC7E23"/>
    <w:rsid w:val="00ED018C"/>
    <w:rsid w:val="00EE1573"/>
    <w:rsid w:val="00EF5C09"/>
    <w:rsid w:val="00F027F0"/>
    <w:rsid w:val="00F0393A"/>
    <w:rsid w:val="00F04E50"/>
    <w:rsid w:val="00F060D2"/>
    <w:rsid w:val="00F06C54"/>
    <w:rsid w:val="00F10032"/>
    <w:rsid w:val="00F1698C"/>
    <w:rsid w:val="00F1793A"/>
    <w:rsid w:val="00F24BD2"/>
    <w:rsid w:val="00F401D9"/>
    <w:rsid w:val="00F454E5"/>
    <w:rsid w:val="00F47B44"/>
    <w:rsid w:val="00F50121"/>
    <w:rsid w:val="00F647E8"/>
    <w:rsid w:val="00F701B6"/>
    <w:rsid w:val="00F75525"/>
    <w:rsid w:val="00F92F67"/>
    <w:rsid w:val="00F964CC"/>
    <w:rsid w:val="00F96F53"/>
    <w:rsid w:val="00FA5346"/>
    <w:rsid w:val="00FA5389"/>
    <w:rsid w:val="00FA5777"/>
    <w:rsid w:val="00FB68DB"/>
    <w:rsid w:val="00FB7D0F"/>
    <w:rsid w:val="00FC4F91"/>
    <w:rsid w:val="00FC5DEF"/>
    <w:rsid w:val="00FC733F"/>
    <w:rsid w:val="00FD4E34"/>
    <w:rsid w:val="00FE48D9"/>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32D1"/>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 w:type="paragraph" w:styleId="NormalWeb">
    <w:name w:val="Normal (Web)"/>
    <w:basedOn w:val="Normal"/>
    <w:uiPriority w:val="99"/>
    <w:semiHidden/>
    <w:unhideWhenUsed/>
    <w:rsid w:val="00AD3AA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53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styles" Target="styles.xml"/><Relationship Id="rId21" Type="http://schemas.openxmlformats.org/officeDocument/2006/relationships/image" Target="media/image16.emf"/><Relationship Id="rId34" Type="http://schemas.openxmlformats.org/officeDocument/2006/relationships/image" Target="media/image29.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hyperlink" Target="https://doi.org/10.3389/fphys.2011.00044" TargetMode="External"/><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2A766-43F3-40B7-9F53-8B82F7E9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27340</TotalTime>
  <Pages>27</Pages>
  <Words>5897</Words>
  <Characters>31849</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Nathalia S. Ferreira</dc:creator>
  <cp:lastModifiedBy>Nathalia S. Ferreira</cp:lastModifiedBy>
  <cp:revision>8</cp:revision>
  <cp:lastPrinted>2022-03-08T18:11:00Z</cp:lastPrinted>
  <dcterms:created xsi:type="dcterms:W3CDTF">2022-08-08T01:14:00Z</dcterms:created>
  <dcterms:modified xsi:type="dcterms:W3CDTF">2022-08-31T16:15:00Z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http://www.zotero.org/styles/associacao-brasileira-de-normas-tecnicas</vt:lpwstr>
  </property>
  <property fmtid="{D5CDD505-2E9C-101B-9397-08002B2CF9AE}" pid="3" name="Mendeley Document_1">
    <vt:lpwstr>True</vt:lpwstr>
  </property>
  <property fmtid="{D5CDD505-2E9C-101B-9397-08002B2CF9AE}" pid="4" name="Mendeley Recent Style Id 0_1">
    <vt:lpwstr>http://www.zotero.org/styles/american-political-science-association</vt:lpwstr>
  </property>
  <property fmtid="{D5CDD505-2E9C-101B-9397-08002B2CF9AE}" pid="5" name="Mendeley Recent Style Id 1_1">
    <vt:lpwstr>http://www.zotero.org/styles/american-sociological-association</vt:lpwstr>
  </property>
  <property fmtid="{D5CDD505-2E9C-101B-9397-08002B2CF9AE}" pid="6" name="Mendeley Recent Style Id 2_1">
    <vt:lpwstr>http://www.zotero.org/styles/associacao-brasileira-de-normas-tecnicas</vt:lpwstr>
  </property>
  <property fmtid="{D5CDD505-2E9C-101B-9397-08002B2CF9AE}" pid="7" name="Mendeley Recent Style Id 3_1">
    <vt:lpwstr>http://www.zotero.org/styles/chemosphere</vt:lpwstr>
  </property>
  <property fmtid="{D5CDD505-2E9C-101B-9397-08002B2CF9AE}" pid="8" name="Mendeley Recent Style Id 4_1">
    <vt:lpwstr>http://www.zotero.org/styles/chicago-author-date</vt:lpwstr>
  </property>
  <property fmtid="{D5CDD505-2E9C-101B-9397-08002B2CF9AE}" pid="9" name="Mendeley Recent Style Id 5_1">
    <vt:lpwstr>http://www.zotero.org/styles/chicago-note-bibliography</vt:lpwstr>
  </property>
  <property fmtid="{D5CDD505-2E9C-101B-9397-08002B2CF9AE}" pid="10" name="Mendeley Recent Style Id 6_1">
    <vt:lpwstr>http://www.zotero.org/styles/harvard-cite-them-right</vt:lpwstr>
  </property>
  <property fmtid="{D5CDD505-2E9C-101B-9397-08002B2CF9AE}" pid="11" name="Mendeley Recent Style Id 7_1">
    <vt:lpwstr>http://www.zotero.org/styles/elsevier-harvard2</vt:lpwstr>
  </property>
  <property fmtid="{D5CDD505-2E9C-101B-9397-08002B2CF9AE}" pid="12" name="Mendeley Recent Style Id 8_1">
    <vt:lpwstr>http://www.zotero.org/styles/ieee</vt:lpwstr>
  </property>
  <property fmtid="{D5CDD505-2E9C-101B-9397-08002B2CF9AE}" pid="13" name="Mendeley Recent Style Id 9_1">
    <vt:lpwstr>http://www.zotero.org/styles/nature</vt:lpwstr>
  </property>
  <property fmtid="{D5CDD505-2E9C-101B-9397-08002B2CF9AE}" pid="14" name="Mendeley Recent Style Name 0_1">
    <vt:lpwstr>American Political Science Association</vt:lpwstr>
  </property>
  <property fmtid="{D5CDD505-2E9C-101B-9397-08002B2CF9AE}" pid="15" name="Mendeley Recent Style Name 1_1">
    <vt:lpwstr>American Sociological Association 6th edition</vt:lpwstr>
  </property>
  <property fmtid="{D5CDD505-2E9C-101B-9397-08002B2CF9AE}" pid="16" name="Mendeley Recent Style Name 2_1">
    <vt:lpwstr>Associação Brasileira de Normas Técnicas (Portuguese - Brazil)</vt:lpwstr>
  </property>
  <property fmtid="{D5CDD505-2E9C-101B-9397-08002B2CF9AE}" pid="17" name="Mendeley Recent Style Name 3_1">
    <vt:lpwstr>Chemosphere</vt:lpwstr>
  </property>
  <property fmtid="{D5CDD505-2E9C-101B-9397-08002B2CF9AE}" pid="18" name="Mendeley Recent Style Name 4_1">
    <vt:lpwstr>Chicago Manual of Style 17th edition (author-date)</vt:lpwstr>
  </property>
  <property fmtid="{D5CDD505-2E9C-101B-9397-08002B2CF9AE}" pid="19" name="Mendeley Recent Style Name 5_1">
    <vt:lpwstr>Chicago Manual of Style 17th edition (note)</vt:lpwstr>
  </property>
  <property fmtid="{D5CDD505-2E9C-101B-9397-08002B2CF9AE}" pid="20" name="Mendeley Recent Style Name 6_1">
    <vt:lpwstr>Cite Them Right 10th edition - Harvard</vt:lpwstr>
  </property>
  <property fmtid="{D5CDD505-2E9C-101B-9397-08002B2CF9AE}" pid="21" name="Mendeley Recent Style Name 7_1">
    <vt:lpwstr>Elsevier - Harvard 2</vt:lpwstr>
  </property>
  <property fmtid="{D5CDD505-2E9C-101B-9397-08002B2CF9AE}" pid="22" name="Mendeley Recent Style Name 8_1">
    <vt:lpwstr>IEEE</vt:lpwstr>
  </property>
  <property fmtid="{D5CDD505-2E9C-101B-9397-08002B2CF9AE}" pid="23" name="Mendeley Recent Style Name 9_1">
    <vt:lpwstr>Nature</vt:lpwstr>
  </property>
  <property fmtid="{D5CDD505-2E9C-101B-9397-08002B2CF9AE}" pid="24" name="Mendeley Unique User Id_1">
    <vt:lpwstr>c082b3d9-d3ab-3b4e-b5d0-92b591477cd3</vt:lpwstr>
  </property>
</Properties>
</file>